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4AB3B" w14:textId="47A1A321" w:rsidR="0031607E" w:rsidRPr="00C44F5A" w:rsidRDefault="00C44F5A" w:rsidP="00C44F5A">
      <w:pPr>
        <w:pStyle w:val="ReportPara"/>
        <w:numPr>
          <w:ilvl w:val="0"/>
          <w:numId w:val="0"/>
        </w:numPr>
        <w:spacing w:after="0"/>
        <w:jc w:val="right"/>
        <w:rPr>
          <w:rFonts w:cs="Arial"/>
          <w:b/>
          <w:szCs w:val="24"/>
        </w:rPr>
      </w:pPr>
      <w:bookmarkStart w:id="0" w:name="_GoBack"/>
      <w:bookmarkEnd w:id="0"/>
      <w:r>
        <w:rPr>
          <w:rFonts w:cs="Arial"/>
          <w:b/>
          <w:szCs w:val="24"/>
        </w:rPr>
        <w:t>Appendix EqIA</w:t>
      </w:r>
    </w:p>
    <w:p w14:paraId="2879E627" w14:textId="77777777" w:rsidR="0031607E" w:rsidRDefault="0031607E" w:rsidP="003048F2">
      <w:pPr>
        <w:pStyle w:val="ReportPara"/>
        <w:numPr>
          <w:ilvl w:val="0"/>
          <w:numId w:val="0"/>
        </w:numPr>
        <w:spacing w:after="0"/>
        <w:ind w:left="360"/>
        <w:jc w:val="both"/>
        <w:rPr>
          <w:rFonts w:cs="Arial"/>
          <w:szCs w:val="24"/>
        </w:rPr>
      </w:pPr>
    </w:p>
    <w:p w14:paraId="0FD3F58C" w14:textId="00B7A4C7" w:rsidR="0031607E" w:rsidRPr="00C44F5A" w:rsidRDefault="0031607E" w:rsidP="00C44F5A">
      <w:pPr>
        <w:jc w:val="center"/>
        <w:rPr>
          <w:b/>
          <w:lang w:eastAsia="en-US"/>
        </w:rPr>
      </w:pPr>
      <w:r w:rsidRPr="0031607E">
        <w:rPr>
          <w:b/>
          <w:kern w:val="32"/>
          <w:sz w:val="32"/>
          <w:u w:val="single"/>
          <w:lang w:eastAsia="en-US"/>
        </w:rPr>
        <w:t>Oxfordshire Housing and Growth Deal Equalities Impact Assessment</w:t>
      </w:r>
    </w:p>
    <w:p w14:paraId="517FAB23" w14:textId="77777777" w:rsidR="0031607E" w:rsidRPr="0031607E" w:rsidRDefault="0031607E" w:rsidP="0031607E">
      <w:pPr>
        <w:rPr>
          <w:rFonts w:cs="Arial"/>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19"/>
        <w:gridCol w:w="1829"/>
        <w:gridCol w:w="3558"/>
        <w:gridCol w:w="5528"/>
      </w:tblGrid>
      <w:tr w:rsidR="0031607E" w:rsidRPr="0031607E" w14:paraId="15337572" w14:textId="77777777" w:rsidTr="00E961BD">
        <w:tc>
          <w:tcPr>
            <w:tcW w:w="6048" w:type="dxa"/>
            <w:gridSpan w:val="2"/>
          </w:tcPr>
          <w:p w14:paraId="29D54F28" w14:textId="77777777" w:rsidR="0031607E" w:rsidRPr="0031607E" w:rsidRDefault="0031607E" w:rsidP="0031607E">
            <w:pPr>
              <w:rPr>
                <w:rFonts w:cs="Arial"/>
                <w:b/>
                <w:bCs/>
                <w:lang w:eastAsia="en-US"/>
              </w:rPr>
            </w:pPr>
            <w:r w:rsidRPr="0031607E">
              <w:rPr>
                <w:rFonts w:cs="Arial"/>
                <w:b/>
                <w:bCs/>
                <w:lang w:eastAsia="en-US"/>
              </w:rPr>
              <w:t>Date of Initial assessment:</w:t>
            </w:r>
          </w:p>
          <w:p w14:paraId="774A8B84" w14:textId="77777777" w:rsidR="0031607E" w:rsidRPr="0031607E" w:rsidRDefault="0031607E" w:rsidP="0031607E">
            <w:pPr>
              <w:rPr>
                <w:rFonts w:cs="Arial"/>
                <w:b/>
                <w:bCs/>
                <w:lang w:eastAsia="en-US"/>
              </w:rPr>
            </w:pPr>
          </w:p>
        </w:tc>
        <w:tc>
          <w:tcPr>
            <w:tcW w:w="3558" w:type="dxa"/>
          </w:tcPr>
          <w:p w14:paraId="01D74CEE" w14:textId="77777777" w:rsidR="0031607E" w:rsidRPr="0031607E" w:rsidRDefault="0031607E" w:rsidP="0031607E">
            <w:pPr>
              <w:rPr>
                <w:rFonts w:cs="Arial"/>
                <w:b/>
                <w:bCs/>
                <w:lang w:eastAsia="en-US"/>
              </w:rPr>
            </w:pPr>
            <w:r w:rsidRPr="0031607E">
              <w:rPr>
                <w:rFonts w:cs="Arial"/>
                <w:b/>
                <w:bCs/>
                <w:lang w:eastAsia="en-US"/>
              </w:rPr>
              <w:t xml:space="preserve">Key Person responsible for assessment: </w:t>
            </w:r>
          </w:p>
          <w:p w14:paraId="3BAEF13F" w14:textId="77777777" w:rsidR="0031607E" w:rsidRPr="0031607E" w:rsidRDefault="0031607E" w:rsidP="0031607E">
            <w:pPr>
              <w:rPr>
                <w:rFonts w:cs="Arial"/>
                <w:b/>
                <w:bCs/>
                <w:lang w:eastAsia="en-US"/>
              </w:rPr>
            </w:pPr>
          </w:p>
          <w:p w14:paraId="4169CCDD" w14:textId="77777777" w:rsidR="0031607E" w:rsidRPr="0031607E" w:rsidRDefault="0031607E" w:rsidP="0031607E">
            <w:pPr>
              <w:rPr>
                <w:rFonts w:cs="Arial"/>
                <w:b/>
                <w:bCs/>
                <w:lang w:eastAsia="en-US"/>
              </w:rPr>
            </w:pPr>
          </w:p>
        </w:tc>
        <w:tc>
          <w:tcPr>
            <w:tcW w:w="5528" w:type="dxa"/>
          </w:tcPr>
          <w:p w14:paraId="12E51600" w14:textId="77777777" w:rsidR="0031607E" w:rsidRPr="0031607E" w:rsidRDefault="0031607E" w:rsidP="0031607E">
            <w:pPr>
              <w:rPr>
                <w:rFonts w:cs="Arial"/>
                <w:b/>
                <w:bCs/>
                <w:lang w:eastAsia="en-US"/>
              </w:rPr>
            </w:pPr>
            <w:r w:rsidRPr="0031607E">
              <w:rPr>
                <w:rFonts w:cs="Arial"/>
                <w:b/>
                <w:bCs/>
                <w:lang w:eastAsia="en-US"/>
              </w:rPr>
              <w:t>Date assessment commenced:</w:t>
            </w:r>
          </w:p>
          <w:p w14:paraId="7989BE0F" w14:textId="77777777" w:rsidR="0031607E" w:rsidRPr="0031607E" w:rsidRDefault="0031607E" w:rsidP="0031607E">
            <w:pPr>
              <w:rPr>
                <w:rFonts w:cs="Arial"/>
                <w:b/>
                <w:bCs/>
                <w:lang w:eastAsia="en-US"/>
              </w:rPr>
            </w:pPr>
          </w:p>
          <w:p w14:paraId="344D5144" w14:textId="77777777" w:rsidR="0031607E" w:rsidRPr="0031607E" w:rsidRDefault="0031607E" w:rsidP="0031607E">
            <w:pPr>
              <w:ind w:left="360"/>
              <w:rPr>
                <w:rFonts w:cs="Arial"/>
                <w:b/>
                <w:bCs/>
                <w:lang w:eastAsia="en-US"/>
              </w:rPr>
            </w:pPr>
          </w:p>
        </w:tc>
      </w:tr>
      <w:tr w:rsidR="0031607E" w:rsidRPr="0031607E" w14:paraId="1D893FF4" w14:textId="77777777" w:rsidTr="00E961BD">
        <w:tc>
          <w:tcPr>
            <w:tcW w:w="4219" w:type="dxa"/>
          </w:tcPr>
          <w:p w14:paraId="722D64C9" w14:textId="77777777" w:rsidR="0031607E" w:rsidRPr="0031607E" w:rsidRDefault="0031607E" w:rsidP="0031607E">
            <w:pPr>
              <w:rPr>
                <w:rFonts w:cs="Arial"/>
                <w:b/>
                <w:lang w:eastAsia="en-US"/>
              </w:rPr>
            </w:pPr>
            <w:r w:rsidRPr="0031607E">
              <w:rPr>
                <w:rFonts w:cs="Arial"/>
                <w:b/>
                <w:lang w:eastAsia="en-US"/>
              </w:rPr>
              <w:t>2. Background:</w:t>
            </w:r>
          </w:p>
          <w:p w14:paraId="52807312" w14:textId="77777777" w:rsidR="0031607E" w:rsidRPr="0031607E" w:rsidRDefault="0031607E" w:rsidP="0031607E">
            <w:pPr>
              <w:rPr>
                <w:rFonts w:cs="Arial"/>
                <w:lang w:eastAsia="en-US"/>
              </w:rPr>
            </w:pPr>
          </w:p>
          <w:p w14:paraId="24CB63B7" w14:textId="77777777" w:rsidR="0031607E" w:rsidRPr="0031607E" w:rsidRDefault="0031607E" w:rsidP="0031607E">
            <w:pPr>
              <w:rPr>
                <w:rFonts w:cs="Arial"/>
                <w:lang w:eastAsia="en-US"/>
              </w:rPr>
            </w:pPr>
            <w:r w:rsidRPr="0031607E">
              <w:rPr>
                <w:rFonts w:cs="Arial"/>
                <w:lang w:eastAsia="en-US"/>
              </w:rPr>
              <w:t>Give the background information to the policy and the perceived problems with the policy which are the reason for the Impact Assessment.</w:t>
            </w:r>
          </w:p>
          <w:p w14:paraId="29BD25B8" w14:textId="77777777" w:rsidR="0031607E" w:rsidRPr="0031607E" w:rsidRDefault="0031607E" w:rsidP="0031607E">
            <w:pPr>
              <w:rPr>
                <w:rFonts w:cs="Arial"/>
                <w:lang w:eastAsia="en-US"/>
              </w:rPr>
            </w:pPr>
          </w:p>
        </w:tc>
        <w:tc>
          <w:tcPr>
            <w:tcW w:w="10915" w:type="dxa"/>
            <w:gridSpan w:val="3"/>
          </w:tcPr>
          <w:p w14:paraId="585CCD33" w14:textId="77777777" w:rsidR="0031607E" w:rsidRPr="0031607E" w:rsidRDefault="0031607E" w:rsidP="0031607E">
            <w:pPr>
              <w:autoSpaceDE w:val="0"/>
              <w:autoSpaceDN w:val="0"/>
              <w:adjustRightInd w:val="0"/>
              <w:rPr>
                <w:rFonts w:cs="Arial"/>
                <w:lang w:eastAsia="en-US"/>
              </w:rPr>
            </w:pPr>
          </w:p>
          <w:p w14:paraId="7B38F0B2" w14:textId="77777777" w:rsidR="0031607E" w:rsidRPr="0031607E" w:rsidRDefault="0031607E" w:rsidP="0031607E">
            <w:pPr>
              <w:autoSpaceDE w:val="0"/>
              <w:autoSpaceDN w:val="0"/>
              <w:adjustRightInd w:val="0"/>
              <w:rPr>
                <w:rFonts w:cs="Arial"/>
                <w:lang w:eastAsia="en-US"/>
              </w:rPr>
            </w:pPr>
            <w:r w:rsidRPr="0031607E">
              <w:rPr>
                <w:rFonts w:cs="Arial"/>
                <w:lang w:eastAsia="en-US"/>
              </w:rPr>
              <w:t>The Oxfordshire Housing and Growth Deal (the Deal) is an agreement between the Oxfordshire Growth Board and Government to:</w:t>
            </w:r>
          </w:p>
          <w:p w14:paraId="5276CE54" w14:textId="77777777" w:rsidR="0031607E" w:rsidRPr="0031607E" w:rsidRDefault="0031607E" w:rsidP="005573AC">
            <w:pPr>
              <w:numPr>
                <w:ilvl w:val="0"/>
                <w:numId w:val="4"/>
              </w:numPr>
              <w:autoSpaceDE w:val="0"/>
              <w:autoSpaceDN w:val="0"/>
              <w:adjustRightInd w:val="0"/>
              <w:contextualSpacing/>
              <w:rPr>
                <w:rFonts w:eastAsiaTheme="minorHAnsi" w:cs="Arial"/>
                <w:lang w:eastAsia="en-US"/>
              </w:rPr>
            </w:pPr>
            <w:r w:rsidRPr="0031607E">
              <w:rPr>
                <w:rFonts w:eastAsiaTheme="minorHAnsi" w:cs="Arial"/>
                <w:lang w:eastAsia="en-US"/>
              </w:rPr>
              <w:t>accelerate the delivery of planned housing by the provision of necessary infrastructure</w:t>
            </w:r>
          </w:p>
          <w:p w14:paraId="32D65B7C" w14:textId="77777777" w:rsidR="0031607E" w:rsidRPr="0031607E" w:rsidRDefault="0031607E" w:rsidP="005573AC">
            <w:pPr>
              <w:numPr>
                <w:ilvl w:val="0"/>
                <w:numId w:val="4"/>
              </w:numPr>
              <w:autoSpaceDE w:val="0"/>
              <w:autoSpaceDN w:val="0"/>
              <w:adjustRightInd w:val="0"/>
              <w:contextualSpacing/>
              <w:rPr>
                <w:rFonts w:eastAsiaTheme="minorHAnsi" w:cs="Arial"/>
                <w:lang w:eastAsia="en-US"/>
              </w:rPr>
            </w:pPr>
            <w:r w:rsidRPr="0031607E">
              <w:rPr>
                <w:rFonts w:eastAsiaTheme="minorHAnsi" w:cs="Arial"/>
                <w:lang w:eastAsia="en-US"/>
              </w:rPr>
              <w:t>provide additional affordable homes</w:t>
            </w:r>
          </w:p>
          <w:p w14:paraId="64807E42" w14:textId="77777777" w:rsidR="0031607E" w:rsidRPr="0031607E" w:rsidRDefault="0031607E" w:rsidP="005573AC">
            <w:pPr>
              <w:numPr>
                <w:ilvl w:val="0"/>
                <w:numId w:val="4"/>
              </w:numPr>
              <w:autoSpaceDE w:val="0"/>
              <w:autoSpaceDN w:val="0"/>
              <w:adjustRightInd w:val="0"/>
              <w:contextualSpacing/>
              <w:rPr>
                <w:rFonts w:eastAsiaTheme="minorHAnsi" w:cs="Arial"/>
                <w:lang w:eastAsia="en-US"/>
              </w:rPr>
            </w:pPr>
            <w:r w:rsidRPr="0031607E">
              <w:rPr>
                <w:rFonts w:eastAsiaTheme="minorHAnsi" w:cs="Arial"/>
                <w:lang w:eastAsia="en-US"/>
              </w:rPr>
              <w:t xml:space="preserve">complete a Joint Statutory Spatial Plan (JSSP) </w:t>
            </w:r>
          </w:p>
          <w:p w14:paraId="30789E7E" w14:textId="77777777" w:rsidR="0031607E" w:rsidRPr="0031607E" w:rsidRDefault="0031607E" w:rsidP="005573AC">
            <w:pPr>
              <w:numPr>
                <w:ilvl w:val="0"/>
                <w:numId w:val="4"/>
              </w:numPr>
              <w:autoSpaceDE w:val="0"/>
              <w:autoSpaceDN w:val="0"/>
              <w:adjustRightInd w:val="0"/>
              <w:contextualSpacing/>
              <w:rPr>
                <w:rFonts w:eastAsiaTheme="minorHAnsi" w:cs="Arial"/>
                <w:lang w:eastAsia="en-US"/>
              </w:rPr>
            </w:pPr>
            <w:r w:rsidRPr="0031607E">
              <w:rPr>
                <w:rFonts w:eastAsiaTheme="minorHAnsi" w:cs="Arial"/>
                <w:lang w:eastAsia="en-US"/>
              </w:rPr>
              <w:t xml:space="preserve">enhance the economic productivity of the county by additional investment </w:t>
            </w:r>
          </w:p>
          <w:p w14:paraId="1E650C8F" w14:textId="77777777" w:rsidR="0031607E" w:rsidRPr="0031607E" w:rsidRDefault="0031607E" w:rsidP="0031607E">
            <w:pPr>
              <w:autoSpaceDE w:val="0"/>
              <w:autoSpaceDN w:val="0"/>
              <w:adjustRightInd w:val="0"/>
              <w:rPr>
                <w:rFonts w:ascii="Times New Roman" w:hAnsi="Times New Roman"/>
              </w:rPr>
            </w:pPr>
          </w:p>
          <w:p w14:paraId="259F9A0D" w14:textId="77777777" w:rsidR="0031607E" w:rsidRPr="0031607E" w:rsidRDefault="0031607E" w:rsidP="0031607E">
            <w:pPr>
              <w:autoSpaceDE w:val="0"/>
              <w:autoSpaceDN w:val="0"/>
              <w:adjustRightInd w:val="0"/>
              <w:rPr>
                <w:rFonts w:cs="Arial"/>
              </w:rPr>
            </w:pPr>
            <w:r w:rsidRPr="0031607E">
              <w:rPr>
                <w:rFonts w:cs="Arial"/>
              </w:rPr>
              <w:t>The Deal is a high level indicative framework for delivery and each part of the deal will be subject to a full equality impact assessment as part of its consideration and if applicable completion. For example;</w:t>
            </w:r>
          </w:p>
          <w:p w14:paraId="76E59EDD" w14:textId="77777777" w:rsidR="0031607E" w:rsidRPr="0031607E" w:rsidRDefault="0031607E" w:rsidP="0031607E">
            <w:pPr>
              <w:autoSpaceDE w:val="0"/>
              <w:autoSpaceDN w:val="0"/>
              <w:adjustRightInd w:val="0"/>
              <w:rPr>
                <w:rFonts w:cs="Arial"/>
              </w:rPr>
            </w:pPr>
          </w:p>
          <w:p w14:paraId="620C82B0" w14:textId="77777777" w:rsidR="0031607E" w:rsidRPr="0031607E" w:rsidRDefault="0031607E" w:rsidP="005573AC">
            <w:pPr>
              <w:numPr>
                <w:ilvl w:val="0"/>
                <w:numId w:val="6"/>
              </w:numPr>
              <w:autoSpaceDE w:val="0"/>
              <w:autoSpaceDN w:val="0"/>
              <w:adjustRightInd w:val="0"/>
              <w:contextualSpacing/>
              <w:rPr>
                <w:rFonts w:eastAsiaTheme="minorHAnsi" w:cs="Arial"/>
                <w:lang w:eastAsia="en-US"/>
              </w:rPr>
            </w:pPr>
            <w:r w:rsidRPr="0031607E">
              <w:rPr>
                <w:rFonts w:eastAsiaTheme="minorHAnsi" w:cs="Arial"/>
                <w:lang w:eastAsia="en-US"/>
              </w:rPr>
              <w:t>All infrastructure projects will undergo an assessment process including planning permissions that will require consideration of the impacts of the development.</w:t>
            </w:r>
          </w:p>
          <w:p w14:paraId="14FE8444" w14:textId="77777777" w:rsidR="0031607E" w:rsidRPr="0031607E" w:rsidRDefault="0031607E" w:rsidP="005573AC">
            <w:pPr>
              <w:numPr>
                <w:ilvl w:val="0"/>
                <w:numId w:val="6"/>
              </w:numPr>
              <w:autoSpaceDE w:val="0"/>
              <w:autoSpaceDN w:val="0"/>
              <w:adjustRightInd w:val="0"/>
              <w:contextualSpacing/>
              <w:rPr>
                <w:rFonts w:eastAsiaTheme="minorHAnsi" w:cs="Arial"/>
                <w:lang w:eastAsia="en-US"/>
              </w:rPr>
            </w:pPr>
            <w:r w:rsidRPr="0031607E">
              <w:rPr>
                <w:rFonts w:eastAsiaTheme="minorHAnsi" w:cs="Arial"/>
                <w:lang w:eastAsia="en-US"/>
              </w:rPr>
              <w:t xml:space="preserve">All additional affordable housing secured through the Deal will have an </w:t>
            </w:r>
            <w:proofErr w:type="spellStart"/>
            <w:r w:rsidRPr="0031607E">
              <w:rPr>
                <w:rFonts w:eastAsiaTheme="minorHAnsi" w:cs="Arial"/>
                <w:lang w:eastAsia="en-US"/>
              </w:rPr>
              <w:t>EqIA</w:t>
            </w:r>
            <w:proofErr w:type="spellEnd"/>
            <w:r w:rsidRPr="0031607E">
              <w:rPr>
                <w:rFonts w:eastAsiaTheme="minorHAnsi" w:cs="Arial"/>
                <w:lang w:eastAsia="en-US"/>
              </w:rPr>
              <w:t xml:space="preserve"> as part of the project. In addition the allocation of additional AH </w:t>
            </w:r>
            <w:proofErr w:type="spellStart"/>
            <w:r w:rsidRPr="0031607E">
              <w:rPr>
                <w:rFonts w:eastAsiaTheme="minorHAnsi" w:cs="Arial"/>
                <w:lang w:eastAsia="en-US"/>
              </w:rPr>
              <w:t>wil</w:t>
            </w:r>
            <w:proofErr w:type="spellEnd"/>
            <w:r w:rsidRPr="0031607E">
              <w:rPr>
                <w:rFonts w:eastAsiaTheme="minorHAnsi" w:cs="Arial"/>
                <w:lang w:eastAsia="en-US"/>
              </w:rPr>
              <w:t xml:space="preserve"> be subject to agreed allocations policies that will have formal </w:t>
            </w:r>
            <w:proofErr w:type="spellStart"/>
            <w:r w:rsidRPr="0031607E">
              <w:rPr>
                <w:rFonts w:eastAsiaTheme="minorHAnsi" w:cs="Arial"/>
                <w:lang w:eastAsia="en-US"/>
              </w:rPr>
              <w:t>EqIA</w:t>
            </w:r>
            <w:proofErr w:type="spellEnd"/>
            <w:r w:rsidRPr="0031607E">
              <w:rPr>
                <w:rFonts w:eastAsiaTheme="minorHAnsi" w:cs="Arial"/>
                <w:lang w:eastAsia="en-US"/>
              </w:rPr>
              <w:t xml:space="preserve"> carried out.</w:t>
            </w:r>
          </w:p>
          <w:p w14:paraId="0324CE84" w14:textId="77777777" w:rsidR="0031607E" w:rsidRPr="0031607E" w:rsidRDefault="0031607E" w:rsidP="005573AC">
            <w:pPr>
              <w:numPr>
                <w:ilvl w:val="0"/>
                <w:numId w:val="6"/>
              </w:numPr>
              <w:autoSpaceDE w:val="0"/>
              <w:autoSpaceDN w:val="0"/>
              <w:adjustRightInd w:val="0"/>
              <w:contextualSpacing/>
              <w:rPr>
                <w:rFonts w:eastAsiaTheme="minorHAnsi" w:cs="Arial"/>
                <w:lang w:eastAsia="en-US"/>
              </w:rPr>
            </w:pPr>
            <w:r w:rsidRPr="0031607E">
              <w:rPr>
                <w:rFonts w:eastAsiaTheme="minorHAnsi" w:cs="Arial"/>
                <w:lang w:eastAsia="en-US"/>
              </w:rPr>
              <w:t xml:space="preserve">The completion of the JSSP will have a full  </w:t>
            </w:r>
            <w:proofErr w:type="spellStart"/>
            <w:r w:rsidRPr="0031607E">
              <w:rPr>
                <w:rFonts w:eastAsiaTheme="minorHAnsi" w:cs="Arial"/>
                <w:lang w:eastAsia="en-US"/>
              </w:rPr>
              <w:t>EqIA</w:t>
            </w:r>
            <w:proofErr w:type="spellEnd"/>
            <w:r w:rsidRPr="0031607E">
              <w:rPr>
                <w:rFonts w:eastAsiaTheme="minorHAnsi" w:cs="Arial"/>
                <w:lang w:eastAsia="en-US"/>
              </w:rPr>
              <w:t xml:space="preserve"> completed as part of the required Statement of Community Involvement (SCI)</w:t>
            </w:r>
          </w:p>
          <w:p w14:paraId="36135F11" w14:textId="77777777" w:rsidR="0031607E" w:rsidRPr="001B0599" w:rsidRDefault="0031607E" w:rsidP="005573AC">
            <w:pPr>
              <w:numPr>
                <w:ilvl w:val="0"/>
                <w:numId w:val="6"/>
              </w:numPr>
              <w:autoSpaceDE w:val="0"/>
              <w:autoSpaceDN w:val="0"/>
              <w:adjustRightInd w:val="0"/>
              <w:contextualSpacing/>
              <w:rPr>
                <w:rFonts w:eastAsiaTheme="minorHAnsi" w:cs="Arial"/>
                <w:lang w:eastAsia="en-US"/>
              </w:rPr>
            </w:pPr>
            <w:r w:rsidRPr="001B0599">
              <w:rPr>
                <w:rFonts w:eastAsiaTheme="minorHAnsi" w:cs="Arial"/>
                <w:lang w:eastAsia="en-US"/>
              </w:rPr>
              <w:t xml:space="preserve">All grants and other initiatives secured through the Productivity strand of the Deal will also be subject to </w:t>
            </w:r>
            <w:proofErr w:type="spellStart"/>
            <w:r w:rsidRPr="001B0599">
              <w:rPr>
                <w:rFonts w:eastAsiaTheme="minorHAnsi" w:cs="Arial"/>
                <w:lang w:eastAsia="en-US"/>
              </w:rPr>
              <w:t>EqIA</w:t>
            </w:r>
            <w:proofErr w:type="spellEnd"/>
            <w:r w:rsidRPr="001B0599">
              <w:rPr>
                <w:rFonts w:eastAsiaTheme="minorHAnsi" w:cs="Arial"/>
                <w:lang w:eastAsia="en-US"/>
              </w:rPr>
              <w:t xml:space="preserve"> as part of their approval process.</w:t>
            </w:r>
          </w:p>
          <w:p w14:paraId="2032E31A" w14:textId="77777777" w:rsidR="0031607E" w:rsidRPr="0031607E" w:rsidRDefault="0031607E" w:rsidP="0031607E">
            <w:pPr>
              <w:autoSpaceDE w:val="0"/>
              <w:autoSpaceDN w:val="0"/>
              <w:adjustRightInd w:val="0"/>
              <w:rPr>
                <w:rFonts w:cs="Arial"/>
              </w:rPr>
            </w:pPr>
          </w:p>
          <w:p w14:paraId="5B3F1158" w14:textId="77777777" w:rsidR="0031607E" w:rsidRPr="0031607E" w:rsidRDefault="0031607E" w:rsidP="0031607E">
            <w:pPr>
              <w:autoSpaceDE w:val="0"/>
              <w:autoSpaceDN w:val="0"/>
              <w:adjustRightInd w:val="0"/>
              <w:rPr>
                <w:rFonts w:cs="Arial"/>
              </w:rPr>
            </w:pPr>
            <w:r w:rsidRPr="0031607E">
              <w:rPr>
                <w:rFonts w:cs="Arial"/>
              </w:rPr>
              <w:lastRenderedPageBreak/>
              <w:t xml:space="preserve"> </w:t>
            </w:r>
          </w:p>
        </w:tc>
      </w:tr>
      <w:tr w:rsidR="0031607E" w:rsidRPr="0031607E" w14:paraId="02D167F2" w14:textId="77777777" w:rsidTr="00E961BD">
        <w:tc>
          <w:tcPr>
            <w:tcW w:w="4219" w:type="dxa"/>
          </w:tcPr>
          <w:p w14:paraId="35672518" w14:textId="77777777" w:rsidR="0031607E" w:rsidRPr="0031607E" w:rsidRDefault="0031607E" w:rsidP="0031607E">
            <w:pPr>
              <w:rPr>
                <w:rFonts w:cs="Arial"/>
                <w:snapToGrid w:val="0"/>
                <w:color w:val="000000"/>
                <w:lang w:eastAsia="en-US"/>
              </w:rPr>
            </w:pPr>
            <w:r w:rsidRPr="0031607E">
              <w:rPr>
                <w:rFonts w:cs="Arial"/>
                <w:b/>
                <w:snapToGrid w:val="0"/>
                <w:color w:val="000000"/>
                <w:lang w:eastAsia="en-US"/>
              </w:rPr>
              <w:lastRenderedPageBreak/>
              <w:t>3. Methodology and Sources of Data</w:t>
            </w:r>
            <w:r w:rsidRPr="0031607E">
              <w:rPr>
                <w:rFonts w:cs="Arial"/>
                <w:snapToGrid w:val="0"/>
                <w:color w:val="000000"/>
                <w:lang w:eastAsia="en-US"/>
              </w:rPr>
              <w:t>:</w:t>
            </w:r>
          </w:p>
          <w:p w14:paraId="5106DF10" w14:textId="77777777" w:rsidR="0031607E" w:rsidRPr="0031607E" w:rsidRDefault="0031607E" w:rsidP="0031607E">
            <w:pPr>
              <w:rPr>
                <w:rFonts w:cs="Arial"/>
                <w:snapToGrid w:val="0"/>
                <w:color w:val="000000"/>
                <w:lang w:eastAsia="en-US"/>
              </w:rPr>
            </w:pPr>
          </w:p>
          <w:p w14:paraId="0FA83E62" w14:textId="77777777" w:rsidR="0031607E" w:rsidRPr="0031607E" w:rsidRDefault="0031607E" w:rsidP="0031607E">
            <w:pPr>
              <w:rPr>
                <w:rFonts w:cs="Arial"/>
                <w:snapToGrid w:val="0"/>
                <w:color w:val="000000"/>
                <w:lang w:eastAsia="en-US"/>
              </w:rPr>
            </w:pPr>
            <w:r w:rsidRPr="0031607E">
              <w:rPr>
                <w:rFonts w:cs="Arial"/>
                <w:snapToGrid w:val="0"/>
                <w:color w:val="000000"/>
                <w:lang w:eastAsia="en-US"/>
              </w:rPr>
              <w:t>The methods used to collect data and what sources of data</w:t>
            </w:r>
          </w:p>
          <w:p w14:paraId="446DF9B6" w14:textId="77777777" w:rsidR="0031607E" w:rsidRPr="0031607E" w:rsidRDefault="0031607E" w:rsidP="0031607E">
            <w:pPr>
              <w:rPr>
                <w:rFonts w:cs="Arial"/>
                <w:lang w:eastAsia="en-US"/>
              </w:rPr>
            </w:pPr>
          </w:p>
        </w:tc>
        <w:tc>
          <w:tcPr>
            <w:tcW w:w="10915" w:type="dxa"/>
            <w:gridSpan w:val="3"/>
          </w:tcPr>
          <w:p w14:paraId="4A11993A" w14:textId="77777777" w:rsidR="0031607E" w:rsidRPr="0031607E" w:rsidRDefault="0031607E" w:rsidP="0031607E">
            <w:pPr>
              <w:rPr>
                <w:rFonts w:cs="Arial"/>
                <w:lang w:eastAsia="en-US"/>
              </w:rPr>
            </w:pPr>
          </w:p>
          <w:p w14:paraId="2030254E" w14:textId="77777777" w:rsidR="0031607E" w:rsidRPr="0031607E" w:rsidRDefault="0031607E" w:rsidP="0031607E">
            <w:pPr>
              <w:rPr>
                <w:rFonts w:cs="Arial"/>
                <w:lang w:eastAsia="en-US"/>
              </w:rPr>
            </w:pPr>
          </w:p>
          <w:p w14:paraId="7213F601" w14:textId="77777777" w:rsidR="0031607E" w:rsidRPr="0031607E" w:rsidRDefault="0031607E" w:rsidP="0031607E">
            <w:pPr>
              <w:rPr>
                <w:rFonts w:cs="Arial"/>
                <w:lang w:eastAsia="en-US"/>
              </w:rPr>
            </w:pPr>
            <w:r w:rsidRPr="0031607E">
              <w:rPr>
                <w:rFonts w:cs="Arial"/>
                <w:lang w:eastAsia="en-US"/>
              </w:rPr>
              <w:t xml:space="preserve">N/A at this stage- to be detailed in the individual </w:t>
            </w:r>
            <w:proofErr w:type="spellStart"/>
            <w:r w:rsidRPr="0031607E">
              <w:rPr>
                <w:rFonts w:cs="Arial"/>
                <w:lang w:eastAsia="en-US"/>
              </w:rPr>
              <w:t>EqIA</w:t>
            </w:r>
            <w:proofErr w:type="spellEnd"/>
            <w:r w:rsidRPr="0031607E">
              <w:rPr>
                <w:rFonts w:cs="Arial"/>
                <w:lang w:eastAsia="en-US"/>
              </w:rPr>
              <w:t xml:space="preserve"> for each project</w:t>
            </w:r>
          </w:p>
        </w:tc>
      </w:tr>
      <w:tr w:rsidR="0031607E" w:rsidRPr="0031607E" w14:paraId="4250F180" w14:textId="77777777" w:rsidTr="00E961BD">
        <w:tc>
          <w:tcPr>
            <w:tcW w:w="4219" w:type="dxa"/>
          </w:tcPr>
          <w:p w14:paraId="368D71D3" w14:textId="77777777" w:rsidR="0031607E" w:rsidRPr="0031607E" w:rsidRDefault="0031607E" w:rsidP="0031607E">
            <w:pPr>
              <w:rPr>
                <w:rFonts w:cs="Arial"/>
                <w:bCs/>
                <w:lang w:eastAsia="en-US"/>
              </w:rPr>
            </w:pPr>
            <w:r w:rsidRPr="0031607E">
              <w:rPr>
                <w:rFonts w:cs="Arial"/>
                <w:b/>
                <w:lang w:eastAsia="en-US"/>
              </w:rPr>
              <w:t>4. Consultation</w:t>
            </w:r>
          </w:p>
          <w:p w14:paraId="6B548D5C" w14:textId="77777777" w:rsidR="0031607E" w:rsidRPr="0031607E" w:rsidRDefault="0031607E" w:rsidP="0031607E">
            <w:pPr>
              <w:rPr>
                <w:rFonts w:cs="Arial"/>
                <w:bCs/>
                <w:lang w:eastAsia="en-US"/>
              </w:rPr>
            </w:pPr>
          </w:p>
          <w:p w14:paraId="25BFEDDF" w14:textId="77777777" w:rsidR="0031607E" w:rsidRPr="0031607E" w:rsidRDefault="0031607E" w:rsidP="0031607E">
            <w:pPr>
              <w:rPr>
                <w:lang w:eastAsia="en-US"/>
              </w:rPr>
            </w:pPr>
            <w:r w:rsidRPr="0031607E">
              <w:rPr>
                <w:lang w:eastAsia="en-US"/>
              </w:rPr>
              <w:t xml:space="preserve">This section should outline all the consultation that has taken place on the EIA. It should include the following. </w:t>
            </w:r>
          </w:p>
          <w:p w14:paraId="4F1549C5" w14:textId="77777777" w:rsidR="0031607E" w:rsidRPr="0031607E" w:rsidRDefault="0031607E" w:rsidP="0031607E">
            <w:pPr>
              <w:ind w:left="720" w:hanging="720"/>
              <w:rPr>
                <w:lang w:eastAsia="en-US"/>
              </w:rPr>
            </w:pPr>
            <w:r w:rsidRPr="0031607E">
              <w:rPr>
                <w:color w:val="000000"/>
                <w:lang w:eastAsia="en-US"/>
              </w:rPr>
              <w:t>•</w:t>
            </w:r>
            <w:r w:rsidRPr="0031607E">
              <w:rPr>
                <w:color w:val="000000"/>
                <w:lang w:eastAsia="en-US"/>
              </w:rPr>
              <w:tab/>
            </w:r>
            <w:r w:rsidRPr="0031607E">
              <w:rPr>
                <w:lang w:eastAsia="en-US"/>
              </w:rPr>
              <w:t>Why you carried out the consultation.</w:t>
            </w:r>
          </w:p>
          <w:p w14:paraId="7EBBE886" w14:textId="77777777" w:rsidR="0031607E" w:rsidRPr="0031607E" w:rsidRDefault="0031607E" w:rsidP="0031607E">
            <w:pPr>
              <w:rPr>
                <w:lang w:eastAsia="en-US"/>
              </w:rPr>
            </w:pPr>
            <w:r w:rsidRPr="0031607E">
              <w:rPr>
                <w:color w:val="000000"/>
                <w:lang w:eastAsia="en-US"/>
              </w:rPr>
              <w:t>•</w:t>
            </w:r>
            <w:r w:rsidRPr="0031607E">
              <w:rPr>
                <w:color w:val="000000"/>
                <w:lang w:eastAsia="en-US"/>
              </w:rPr>
              <w:tab/>
            </w:r>
            <w:r w:rsidRPr="0031607E">
              <w:rPr>
                <w:lang w:eastAsia="en-US"/>
              </w:rPr>
              <w:t xml:space="preserve">Details about how you went about it. </w:t>
            </w:r>
          </w:p>
          <w:p w14:paraId="09D45458" w14:textId="77777777" w:rsidR="0031607E" w:rsidRPr="0031607E" w:rsidRDefault="0031607E" w:rsidP="0031607E">
            <w:pPr>
              <w:ind w:left="720" w:hanging="720"/>
              <w:rPr>
                <w:lang w:eastAsia="en-US"/>
              </w:rPr>
            </w:pPr>
            <w:r w:rsidRPr="0031607E">
              <w:rPr>
                <w:color w:val="000000"/>
                <w:lang w:eastAsia="en-US"/>
              </w:rPr>
              <w:t>•</w:t>
            </w:r>
            <w:r w:rsidRPr="0031607E">
              <w:rPr>
                <w:color w:val="000000"/>
                <w:lang w:eastAsia="en-US"/>
              </w:rPr>
              <w:tab/>
            </w:r>
            <w:r w:rsidRPr="0031607E">
              <w:rPr>
                <w:lang w:eastAsia="en-US"/>
              </w:rPr>
              <w:t>A summary of the replies you received from people you consulted.</w:t>
            </w:r>
          </w:p>
          <w:p w14:paraId="31B46A98" w14:textId="77777777" w:rsidR="0031607E" w:rsidRPr="0031607E" w:rsidRDefault="0031607E" w:rsidP="0031607E">
            <w:pPr>
              <w:ind w:left="720" w:hanging="720"/>
              <w:rPr>
                <w:lang w:eastAsia="en-US"/>
              </w:rPr>
            </w:pPr>
            <w:r w:rsidRPr="0031607E">
              <w:rPr>
                <w:color w:val="000000"/>
                <w:lang w:eastAsia="en-US"/>
              </w:rPr>
              <w:t>•</w:t>
            </w:r>
            <w:r w:rsidRPr="0031607E">
              <w:rPr>
                <w:color w:val="000000"/>
                <w:lang w:eastAsia="en-US"/>
              </w:rPr>
              <w:tab/>
            </w:r>
            <w:r w:rsidRPr="0031607E">
              <w:rPr>
                <w:lang w:eastAsia="en-US"/>
              </w:rPr>
              <w:t>An assessment of your proposed policy (or policy options) in the light of the responses you received.</w:t>
            </w:r>
          </w:p>
          <w:p w14:paraId="716A0CA7" w14:textId="77777777" w:rsidR="0031607E" w:rsidRPr="0031607E" w:rsidRDefault="0031607E" w:rsidP="0031607E">
            <w:pPr>
              <w:ind w:left="720" w:hanging="720"/>
              <w:rPr>
                <w:rFonts w:cs="Arial"/>
                <w:bCs/>
                <w:lang w:eastAsia="en-US"/>
              </w:rPr>
            </w:pPr>
            <w:r w:rsidRPr="0031607E">
              <w:rPr>
                <w:color w:val="000000"/>
                <w:lang w:eastAsia="en-US"/>
              </w:rPr>
              <w:t>•</w:t>
            </w:r>
            <w:r w:rsidRPr="0031607E">
              <w:rPr>
                <w:color w:val="000000"/>
                <w:lang w:eastAsia="en-US"/>
              </w:rPr>
              <w:tab/>
            </w:r>
            <w:r w:rsidRPr="0031607E">
              <w:rPr>
                <w:lang w:eastAsia="en-US"/>
              </w:rPr>
              <w:t>A statement of what you plan to do next</w:t>
            </w:r>
          </w:p>
        </w:tc>
        <w:tc>
          <w:tcPr>
            <w:tcW w:w="10915" w:type="dxa"/>
            <w:gridSpan w:val="3"/>
          </w:tcPr>
          <w:p w14:paraId="0C744ECB" w14:textId="77777777" w:rsidR="0031607E" w:rsidRPr="0031607E" w:rsidRDefault="0031607E" w:rsidP="0031607E">
            <w:pPr>
              <w:rPr>
                <w:rFonts w:cs="Arial"/>
                <w:lang w:eastAsia="en-US"/>
              </w:rPr>
            </w:pPr>
          </w:p>
          <w:p w14:paraId="64FF796A" w14:textId="77777777" w:rsidR="0031607E" w:rsidRPr="0031607E" w:rsidRDefault="0031607E" w:rsidP="0031607E">
            <w:pPr>
              <w:rPr>
                <w:rFonts w:cs="Arial"/>
                <w:lang w:eastAsia="en-US"/>
              </w:rPr>
            </w:pPr>
            <w:r w:rsidRPr="0031607E">
              <w:rPr>
                <w:rFonts w:cs="Arial"/>
                <w:lang w:eastAsia="en-US"/>
              </w:rPr>
              <w:t xml:space="preserve">All strands of the Deal will include as part of their </w:t>
            </w:r>
            <w:proofErr w:type="spellStart"/>
            <w:r w:rsidRPr="0031607E">
              <w:rPr>
                <w:rFonts w:cs="Arial"/>
                <w:lang w:eastAsia="en-US"/>
              </w:rPr>
              <w:t>EqIA</w:t>
            </w:r>
            <w:proofErr w:type="spellEnd"/>
            <w:r w:rsidRPr="0031607E">
              <w:rPr>
                <w:rFonts w:cs="Arial"/>
                <w:lang w:eastAsia="en-US"/>
              </w:rPr>
              <w:t xml:space="preserve"> detail on how relevant parties will be consulted. For example</w:t>
            </w:r>
          </w:p>
          <w:p w14:paraId="37E1D623" w14:textId="77777777" w:rsidR="0031607E" w:rsidRPr="0031607E" w:rsidRDefault="0031607E" w:rsidP="0031607E">
            <w:pPr>
              <w:rPr>
                <w:rFonts w:cs="Arial"/>
                <w:lang w:eastAsia="en-US"/>
              </w:rPr>
            </w:pPr>
          </w:p>
          <w:p w14:paraId="6DE0D581" w14:textId="77777777" w:rsidR="0031607E" w:rsidRPr="0031607E" w:rsidRDefault="0031607E" w:rsidP="0031607E">
            <w:pPr>
              <w:rPr>
                <w:rFonts w:cs="Arial"/>
                <w:lang w:eastAsia="en-US"/>
              </w:rPr>
            </w:pPr>
            <w:r w:rsidRPr="0031607E">
              <w:rPr>
                <w:rFonts w:cs="Arial"/>
                <w:lang w:eastAsia="en-US"/>
              </w:rPr>
              <w:t>All infrastructure projects will comply with statutory requirements for consultation as part of the planning/approval processes</w:t>
            </w:r>
          </w:p>
          <w:p w14:paraId="656B9911" w14:textId="77777777" w:rsidR="0031607E" w:rsidRPr="0031607E" w:rsidRDefault="0031607E" w:rsidP="0031607E">
            <w:pPr>
              <w:rPr>
                <w:rFonts w:cs="Arial"/>
                <w:lang w:eastAsia="en-US"/>
              </w:rPr>
            </w:pPr>
            <w:r w:rsidRPr="0031607E">
              <w:rPr>
                <w:rFonts w:cs="Arial"/>
                <w:lang w:eastAsia="en-US"/>
              </w:rPr>
              <w:t xml:space="preserve">All affordable housing will be secured through the planning process and be subject to the relevant consultation requirements. Once secured any allocation of the additional affordable housing will be subject to an agreed policy that will include a full </w:t>
            </w:r>
            <w:proofErr w:type="spellStart"/>
            <w:r w:rsidRPr="0031607E">
              <w:rPr>
                <w:rFonts w:cs="Arial"/>
                <w:lang w:eastAsia="en-US"/>
              </w:rPr>
              <w:t>EqIA</w:t>
            </w:r>
            <w:proofErr w:type="spellEnd"/>
            <w:r w:rsidRPr="0031607E">
              <w:rPr>
                <w:rFonts w:cs="Arial"/>
                <w:lang w:eastAsia="en-US"/>
              </w:rPr>
              <w:t xml:space="preserve"> as part of its development. </w:t>
            </w:r>
          </w:p>
          <w:p w14:paraId="6BDC0DE5" w14:textId="77777777" w:rsidR="0031607E" w:rsidRPr="0031607E" w:rsidRDefault="0031607E" w:rsidP="0031607E">
            <w:pPr>
              <w:rPr>
                <w:rFonts w:cs="Arial"/>
                <w:lang w:eastAsia="en-US"/>
              </w:rPr>
            </w:pPr>
            <w:r w:rsidRPr="0031607E">
              <w:rPr>
                <w:rFonts w:cs="Arial"/>
                <w:lang w:eastAsia="en-US"/>
              </w:rPr>
              <w:t xml:space="preserve">The production of the Joint Statutory Spatial Plan will be governed by a Statement of Community Involvement (SCI) that will set out the consultation framework for the Plan. </w:t>
            </w:r>
          </w:p>
          <w:p w14:paraId="740DF988" w14:textId="77777777" w:rsidR="0031607E" w:rsidRPr="0031607E" w:rsidRDefault="0031607E" w:rsidP="0031607E">
            <w:pPr>
              <w:rPr>
                <w:rFonts w:cs="Arial"/>
                <w:lang w:eastAsia="en-US"/>
              </w:rPr>
            </w:pPr>
            <w:r w:rsidRPr="0031607E">
              <w:rPr>
                <w:rFonts w:cs="Arial"/>
                <w:lang w:eastAsia="en-US"/>
              </w:rPr>
              <w:t xml:space="preserve">Consideration of appropriate consultation will be part of the Productivity approval process </w:t>
            </w:r>
          </w:p>
          <w:p w14:paraId="572AD39C" w14:textId="77777777" w:rsidR="0031607E" w:rsidRPr="0031607E" w:rsidRDefault="0031607E" w:rsidP="0031607E">
            <w:pPr>
              <w:rPr>
                <w:rFonts w:cs="Arial"/>
                <w:lang w:eastAsia="en-US"/>
              </w:rPr>
            </w:pPr>
          </w:p>
          <w:p w14:paraId="2104F598" w14:textId="77777777" w:rsidR="0031607E" w:rsidRPr="0031607E" w:rsidRDefault="0031607E" w:rsidP="0031607E">
            <w:pPr>
              <w:rPr>
                <w:rFonts w:cs="Arial"/>
                <w:lang w:eastAsia="en-US"/>
              </w:rPr>
            </w:pPr>
          </w:p>
          <w:p w14:paraId="564E8D9A" w14:textId="77777777" w:rsidR="0031607E" w:rsidRPr="0031607E" w:rsidRDefault="0031607E" w:rsidP="0031607E">
            <w:pPr>
              <w:rPr>
                <w:rFonts w:cs="Arial"/>
                <w:lang w:eastAsia="en-US"/>
              </w:rPr>
            </w:pPr>
          </w:p>
          <w:p w14:paraId="1E9B2E6E" w14:textId="77777777" w:rsidR="0031607E" w:rsidRPr="0031607E" w:rsidRDefault="0031607E" w:rsidP="0031607E">
            <w:pPr>
              <w:rPr>
                <w:rFonts w:cs="Arial"/>
                <w:lang w:eastAsia="en-US"/>
              </w:rPr>
            </w:pPr>
            <w:r w:rsidRPr="0031607E">
              <w:rPr>
                <w:rFonts w:cs="Arial"/>
                <w:lang w:eastAsia="en-US"/>
              </w:rPr>
              <w:t xml:space="preserve">All consultations will be summarised and their impacts fed back into the consideration of the individual projects concerned </w:t>
            </w:r>
          </w:p>
        </w:tc>
      </w:tr>
      <w:tr w:rsidR="0031607E" w:rsidRPr="0031607E" w14:paraId="062208CD" w14:textId="77777777" w:rsidTr="00E961BD">
        <w:trPr>
          <w:trHeight w:val="8175"/>
        </w:trPr>
        <w:tc>
          <w:tcPr>
            <w:tcW w:w="4219" w:type="dxa"/>
          </w:tcPr>
          <w:p w14:paraId="364D968A" w14:textId="77777777" w:rsidR="0031607E" w:rsidRPr="0031607E" w:rsidRDefault="0031607E" w:rsidP="0031607E">
            <w:pPr>
              <w:rPr>
                <w:rFonts w:cs="Arial"/>
                <w:b/>
                <w:lang w:eastAsia="en-US"/>
              </w:rPr>
            </w:pPr>
            <w:r w:rsidRPr="0031607E">
              <w:rPr>
                <w:rFonts w:cs="Arial"/>
                <w:b/>
                <w:lang w:eastAsia="en-US"/>
              </w:rPr>
              <w:lastRenderedPageBreak/>
              <w:t>5. Assessment of Impact:</w:t>
            </w:r>
          </w:p>
          <w:p w14:paraId="5994FA35" w14:textId="77777777" w:rsidR="0031607E" w:rsidRPr="0031607E" w:rsidRDefault="0031607E" w:rsidP="0031607E">
            <w:pPr>
              <w:rPr>
                <w:rFonts w:cs="Arial"/>
                <w:szCs w:val="24"/>
                <w:lang w:eastAsia="en-US"/>
              </w:rPr>
            </w:pPr>
            <w:r w:rsidRPr="0031607E">
              <w:rPr>
                <w:rFonts w:cs="Arial"/>
                <w:lang w:eastAsia="en-US"/>
              </w:rPr>
              <w:t xml:space="preserve">Provide details of the assessment of the policy on the six primary equality strands. There may have been other groups or individuals that you considered. Please also </w:t>
            </w:r>
            <w:r w:rsidRPr="0031607E">
              <w:rPr>
                <w:rFonts w:cs="Arial"/>
                <w:szCs w:val="24"/>
                <w:lang w:eastAsia="en-US"/>
              </w:rPr>
              <w:t>consider whether the policy, strategy or spending decisions could have an impact on safeguarding and / or the welfare of children and vulnerable adults</w:t>
            </w:r>
          </w:p>
          <w:p w14:paraId="434FA76F" w14:textId="77777777" w:rsidR="0031607E" w:rsidRPr="0031607E" w:rsidRDefault="0031607E" w:rsidP="0031607E">
            <w:pPr>
              <w:rPr>
                <w:rFonts w:cs="Arial"/>
                <w:b/>
                <w:lang w:eastAsia="en-US"/>
              </w:rPr>
            </w:pPr>
          </w:p>
        </w:tc>
        <w:tc>
          <w:tcPr>
            <w:tcW w:w="10915" w:type="dxa"/>
            <w:gridSpan w:val="3"/>
          </w:tcPr>
          <w:p w14:paraId="61D7218B" w14:textId="77777777" w:rsidR="0031607E" w:rsidRPr="0031607E" w:rsidRDefault="0031607E" w:rsidP="0031607E">
            <w:pPr>
              <w:rPr>
                <w:rFonts w:cs="Arial"/>
                <w:b/>
                <w:lang w:eastAsia="en-US"/>
              </w:rPr>
            </w:pPr>
          </w:p>
          <w:p w14:paraId="152EB1A2" w14:textId="77777777" w:rsidR="0031607E" w:rsidRPr="0031607E" w:rsidRDefault="0031607E" w:rsidP="0031607E">
            <w:pPr>
              <w:rPr>
                <w:rFonts w:cs="Arial"/>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31607E" w:rsidRPr="0031607E" w14:paraId="04E474E9" w14:textId="77777777" w:rsidTr="00E961BD">
              <w:tc>
                <w:tcPr>
                  <w:tcW w:w="3561" w:type="dxa"/>
                  <w:tcBorders>
                    <w:top w:val="single" w:sz="4" w:space="0" w:color="auto"/>
                  </w:tcBorders>
                </w:tcPr>
                <w:p w14:paraId="3B61490D" w14:textId="77777777" w:rsidR="0031607E" w:rsidRPr="0031607E" w:rsidRDefault="0031607E" w:rsidP="0031607E">
                  <w:pPr>
                    <w:jc w:val="center"/>
                    <w:rPr>
                      <w:b/>
                    </w:rPr>
                  </w:pPr>
                  <w:r w:rsidRPr="0031607E">
                    <w:rPr>
                      <w:b/>
                      <w:iCs/>
                    </w:rPr>
                    <w:t>Race</w:t>
                  </w:r>
                </w:p>
              </w:tc>
              <w:tc>
                <w:tcPr>
                  <w:tcW w:w="3561" w:type="dxa"/>
                  <w:tcBorders>
                    <w:top w:val="single" w:sz="4" w:space="0" w:color="auto"/>
                  </w:tcBorders>
                </w:tcPr>
                <w:p w14:paraId="1E3C5037" w14:textId="77777777" w:rsidR="0031607E" w:rsidRPr="0031607E" w:rsidRDefault="0031607E" w:rsidP="0031607E">
                  <w:pPr>
                    <w:jc w:val="center"/>
                    <w:rPr>
                      <w:b/>
                    </w:rPr>
                  </w:pPr>
                  <w:r w:rsidRPr="0031607E">
                    <w:rPr>
                      <w:b/>
                      <w:iCs/>
                    </w:rPr>
                    <w:t>Disability</w:t>
                  </w:r>
                </w:p>
              </w:tc>
              <w:tc>
                <w:tcPr>
                  <w:tcW w:w="3562" w:type="dxa"/>
                  <w:tcBorders>
                    <w:top w:val="single" w:sz="4" w:space="0" w:color="auto"/>
                  </w:tcBorders>
                </w:tcPr>
                <w:p w14:paraId="0ADE1551" w14:textId="77777777" w:rsidR="0031607E" w:rsidRPr="0031607E" w:rsidRDefault="0031607E" w:rsidP="0031607E">
                  <w:pPr>
                    <w:jc w:val="center"/>
                    <w:rPr>
                      <w:b/>
                    </w:rPr>
                  </w:pPr>
                  <w:r w:rsidRPr="0031607E">
                    <w:rPr>
                      <w:b/>
                      <w:iCs/>
                    </w:rPr>
                    <w:t>Age</w:t>
                  </w:r>
                </w:p>
              </w:tc>
            </w:tr>
            <w:tr w:rsidR="0031607E" w:rsidRPr="0031607E" w14:paraId="1A567C88" w14:textId="77777777" w:rsidTr="00E961BD">
              <w:trPr>
                <w:trHeight w:val="923"/>
              </w:trPr>
              <w:tc>
                <w:tcPr>
                  <w:tcW w:w="3561" w:type="dxa"/>
                  <w:tcBorders>
                    <w:bottom w:val="single" w:sz="4" w:space="0" w:color="auto"/>
                  </w:tcBorders>
                </w:tcPr>
                <w:p w14:paraId="4B65AFC3" w14:textId="77777777" w:rsidR="0031607E" w:rsidRPr="0031607E" w:rsidRDefault="0031607E" w:rsidP="0031607E">
                  <w:pPr>
                    <w:jc w:val="center"/>
                    <w:rPr>
                      <w:iCs/>
                    </w:rPr>
                  </w:pPr>
                  <w:r w:rsidRPr="0031607E">
                    <w:rPr>
                      <w:iCs/>
                    </w:rPr>
                    <w:t>Neutral</w:t>
                  </w:r>
                </w:p>
              </w:tc>
              <w:tc>
                <w:tcPr>
                  <w:tcW w:w="3561" w:type="dxa"/>
                  <w:tcBorders>
                    <w:bottom w:val="single" w:sz="4" w:space="0" w:color="auto"/>
                  </w:tcBorders>
                </w:tcPr>
                <w:p w14:paraId="1714B09F" w14:textId="77777777" w:rsidR="0031607E" w:rsidRPr="0031607E" w:rsidRDefault="0031607E" w:rsidP="0031607E">
                  <w:pPr>
                    <w:jc w:val="center"/>
                    <w:rPr>
                      <w:iCs/>
                    </w:rPr>
                  </w:pPr>
                  <w:r w:rsidRPr="0031607E">
                    <w:rPr>
                      <w:iCs/>
                    </w:rPr>
                    <w:t>Neutral</w:t>
                  </w:r>
                </w:p>
              </w:tc>
              <w:tc>
                <w:tcPr>
                  <w:tcW w:w="3562" w:type="dxa"/>
                  <w:tcBorders>
                    <w:bottom w:val="single" w:sz="4" w:space="0" w:color="auto"/>
                  </w:tcBorders>
                </w:tcPr>
                <w:p w14:paraId="0FC88301" w14:textId="77777777" w:rsidR="0031607E" w:rsidRPr="0031607E" w:rsidRDefault="0031607E" w:rsidP="0031607E">
                  <w:pPr>
                    <w:jc w:val="center"/>
                    <w:rPr>
                      <w:iCs/>
                    </w:rPr>
                  </w:pPr>
                  <w:r w:rsidRPr="0031607E">
                    <w:rPr>
                      <w:iCs/>
                    </w:rPr>
                    <w:t>Neutral</w:t>
                  </w:r>
                </w:p>
              </w:tc>
            </w:tr>
            <w:tr w:rsidR="0031607E" w:rsidRPr="0031607E" w14:paraId="20B043DE" w14:textId="77777777" w:rsidTr="00E961BD">
              <w:tc>
                <w:tcPr>
                  <w:tcW w:w="3561" w:type="dxa"/>
                  <w:tcBorders>
                    <w:top w:val="single" w:sz="4" w:space="0" w:color="auto"/>
                  </w:tcBorders>
                </w:tcPr>
                <w:p w14:paraId="02F4259B" w14:textId="77777777" w:rsidR="0031607E" w:rsidRPr="0031607E" w:rsidRDefault="0031607E" w:rsidP="0031607E">
                  <w:pPr>
                    <w:jc w:val="center"/>
                    <w:rPr>
                      <w:b/>
                      <w:iCs/>
                    </w:rPr>
                  </w:pPr>
                  <w:r w:rsidRPr="0031607E">
                    <w:rPr>
                      <w:b/>
                      <w:iCs/>
                    </w:rPr>
                    <w:t>Gender reassignment</w:t>
                  </w:r>
                </w:p>
              </w:tc>
              <w:tc>
                <w:tcPr>
                  <w:tcW w:w="3561" w:type="dxa"/>
                  <w:tcBorders>
                    <w:top w:val="single" w:sz="4" w:space="0" w:color="auto"/>
                  </w:tcBorders>
                </w:tcPr>
                <w:p w14:paraId="6B5367A0" w14:textId="77777777" w:rsidR="0031607E" w:rsidRPr="0031607E" w:rsidRDefault="0031607E" w:rsidP="0031607E">
                  <w:pPr>
                    <w:jc w:val="center"/>
                    <w:rPr>
                      <w:b/>
                      <w:iCs/>
                    </w:rPr>
                  </w:pPr>
                  <w:r w:rsidRPr="0031607E">
                    <w:rPr>
                      <w:b/>
                      <w:iCs/>
                    </w:rPr>
                    <w:t>Religion or  Belief</w:t>
                  </w:r>
                </w:p>
              </w:tc>
              <w:tc>
                <w:tcPr>
                  <w:tcW w:w="3562" w:type="dxa"/>
                  <w:tcBorders>
                    <w:top w:val="single" w:sz="4" w:space="0" w:color="auto"/>
                  </w:tcBorders>
                </w:tcPr>
                <w:p w14:paraId="79BB476E" w14:textId="77777777" w:rsidR="0031607E" w:rsidRPr="0031607E" w:rsidRDefault="0031607E" w:rsidP="0031607E">
                  <w:pPr>
                    <w:jc w:val="center"/>
                    <w:rPr>
                      <w:b/>
                      <w:iCs/>
                    </w:rPr>
                  </w:pPr>
                  <w:r w:rsidRPr="0031607E">
                    <w:rPr>
                      <w:b/>
                      <w:iCs/>
                    </w:rPr>
                    <w:t>Sexual Orientation</w:t>
                  </w:r>
                </w:p>
              </w:tc>
            </w:tr>
            <w:tr w:rsidR="0031607E" w:rsidRPr="0031607E" w14:paraId="06C799F5" w14:textId="77777777" w:rsidTr="00E961BD">
              <w:tc>
                <w:tcPr>
                  <w:tcW w:w="3561" w:type="dxa"/>
                  <w:tcBorders>
                    <w:bottom w:val="single" w:sz="4" w:space="0" w:color="auto"/>
                  </w:tcBorders>
                </w:tcPr>
                <w:p w14:paraId="25286DB2" w14:textId="77777777" w:rsidR="0031607E" w:rsidRPr="0031607E" w:rsidRDefault="0031607E" w:rsidP="0031607E">
                  <w:pPr>
                    <w:jc w:val="center"/>
                    <w:rPr>
                      <w:iCs/>
                    </w:rPr>
                  </w:pPr>
                  <w:r w:rsidRPr="0031607E">
                    <w:rPr>
                      <w:iCs/>
                    </w:rPr>
                    <w:t>Neutral</w:t>
                  </w:r>
                </w:p>
              </w:tc>
              <w:tc>
                <w:tcPr>
                  <w:tcW w:w="3561" w:type="dxa"/>
                  <w:tcBorders>
                    <w:bottom w:val="single" w:sz="4" w:space="0" w:color="auto"/>
                  </w:tcBorders>
                </w:tcPr>
                <w:p w14:paraId="1B051B89" w14:textId="77777777" w:rsidR="0031607E" w:rsidRPr="0031607E" w:rsidRDefault="0031607E" w:rsidP="0031607E">
                  <w:pPr>
                    <w:jc w:val="center"/>
                    <w:rPr>
                      <w:iCs/>
                    </w:rPr>
                  </w:pPr>
                  <w:r w:rsidRPr="0031607E">
                    <w:rPr>
                      <w:iCs/>
                    </w:rPr>
                    <w:t>Neutral</w:t>
                  </w:r>
                </w:p>
              </w:tc>
              <w:tc>
                <w:tcPr>
                  <w:tcW w:w="3562" w:type="dxa"/>
                  <w:tcBorders>
                    <w:bottom w:val="single" w:sz="4" w:space="0" w:color="auto"/>
                  </w:tcBorders>
                </w:tcPr>
                <w:p w14:paraId="2DFE1064" w14:textId="77777777" w:rsidR="0031607E" w:rsidRPr="0031607E" w:rsidRDefault="0031607E" w:rsidP="0031607E">
                  <w:pPr>
                    <w:jc w:val="center"/>
                    <w:rPr>
                      <w:iCs/>
                    </w:rPr>
                  </w:pPr>
                  <w:r w:rsidRPr="0031607E">
                    <w:rPr>
                      <w:iCs/>
                    </w:rPr>
                    <w:t>Neutral</w:t>
                  </w:r>
                </w:p>
              </w:tc>
            </w:tr>
            <w:tr w:rsidR="0031607E" w:rsidRPr="0031607E" w14:paraId="27A523A9" w14:textId="77777777" w:rsidTr="00E961BD">
              <w:tc>
                <w:tcPr>
                  <w:tcW w:w="3561" w:type="dxa"/>
                  <w:tcBorders>
                    <w:top w:val="single" w:sz="4" w:space="0" w:color="auto"/>
                  </w:tcBorders>
                </w:tcPr>
                <w:p w14:paraId="326A0660" w14:textId="77777777" w:rsidR="0031607E" w:rsidRPr="0031607E" w:rsidRDefault="0031607E" w:rsidP="0031607E">
                  <w:pPr>
                    <w:jc w:val="center"/>
                    <w:rPr>
                      <w:b/>
                    </w:rPr>
                  </w:pPr>
                  <w:r w:rsidRPr="0031607E">
                    <w:rPr>
                      <w:b/>
                      <w:iCs/>
                    </w:rPr>
                    <w:t>Sex</w:t>
                  </w:r>
                </w:p>
              </w:tc>
              <w:tc>
                <w:tcPr>
                  <w:tcW w:w="3561" w:type="dxa"/>
                  <w:tcBorders>
                    <w:top w:val="single" w:sz="4" w:space="0" w:color="auto"/>
                  </w:tcBorders>
                </w:tcPr>
                <w:p w14:paraId="28835776" w14:textId="77777777" w:rsidR="0031607E" w:rsidRPr="0031607E" w:rsidRDefault="0031607E" w:rsidP="0031607E">
                  <w:pPr>
                    <w:jc w:val="center"/>
                    <w:rPr>
                      <w:b/>
                    </w:rPr>
                  </w:pPr>
                  <w:r w:rsidRPr="0031607E">
                    <w:rPr>
                      <w:b/>
                      <w:iCs/>
                    </w:rPr>
                    <w:t>Pregnancy and Maternity</w:t>
                  </w:r>
                </w:p>
              </w:tc>
              <w:tc>
                <w:tcPr>
                  <w:tcW w:w="3562" w:type="dxa"/>
                  <w:tcBorders>
                    <w:top w:val="single" w:sz="4" w:space="0" w:color="auto"/>
                  </w:tcBorders>
                </w:tcPr>
                <w:p w14:paraId="51BF0163" w14:textId="77777777" w:rsidR="0031607E" w:rsidRPr="0031607E" w:rsidRDefault="0031607E" w:rsidP="0031607E">
                  <w:pPr>
                    <w:jc w:val="center"/>
                    <w:rPr>
                      <w:b/>
                    </w:rPr>
                  </w:pPr>
                  <w:r w:rsidRPr="0031607E">
                    <w:rPr>
                      <w:b/>
                      <w:iCs/>
                    </w:rPr>
                    <w:t>Marriage &amp; Civil Partnership</w:t>
                  </w:r>
                </w:p>
              </w:tc>
            </w:tr>
            <w:tr w:rsidR="0031607E" w:rsidRPr="0031607E" w14:paraId="1C9B3C6C" w14:textId="77777777" w:rsidTr="00E961BD">
              <w:tc>
                <w:tcPr>
                  <w:tcW w:w="3561" w:type="dxa"/>
                  <w:tcBorders>
                    <w:bottom w:val="single" w:sz="4" w:space="0" w:color="auto"/>
                  </w:tcBorders>
                </w:tcPr>
                <w:p w14:paraId="0555C511" w14:textId="77777777" w:rsidR="0031607E" w:rsidRPr="0031607E" w:rsidRDefault="0031607E" w:rsidP="0031607E">
                  <w:pPr>
                    <w:jc w:val="center"/>
                  </w:pPr>
                  <w:r w:rsidRPr="0031607E">
                    <w:rPr>
                      <w:iCs/>
                    </w:rPr>
                    <w:t>Neutral</w:t>
                  </w:r>
                </w:p>
              </w:tc>
              <w:tc>
                <w:tcPr>
                  <w:tcW w:w="3561" w:type="dxa"/>
                  <w:tcBorders>
                    <w:bottom w:val="single" w:sz="4" w:space="0" w:color="auto"/>
                  </w:tcBorders>
                </w:tcPr>
                <w:p w14:paraId="4675D945" w14:textId="77777777" w:rsidR="0031607E" w:rsidRPr="0031607E" w:rsidRDefault="0031607E" w:rsidP="0031607E">
                  <w:pPr>
                    <w:jc w:val="center"/>
                  </w:pPr>
                  <w:r w:rsidRPr="0031607E">
                    <w:rPr>
                      <w:iCs/>
                    </w:rPr>
                    <w:t>Neutral</w:t>
                  </w:r>
                </w:p>
              </w:tc>
              <w:tc>
                <w:tcPr>
                  <w:tcW w:w="3562" w:type="dxa"/>
                  <w:tcBorders>
                    <w:bottom w:val="single" w:sz="4" w:space="0" w:color="auto"/>
                  </w:tcBorders>
                </w:tcPr>
                <w:p w14:paraId="321CF978" w14:textId="77777777" w:rsidR="0031607E" w:rsidRPr="0031607E" w:rsidRDefault="0031607E" w:rsidP="0031607E">
                  <w:pPr>
                    <w:jc w:val="center"/>
                  </w:pPr>
                  <w:r w:rsidRPr="0031607E">
                    <w:rPr>
                      <w:iCs/>
                    </w:rPr>
                    <w:t>Neutral</w:t>
                  </w:r>
                </w:p>
              </w:tc>
            </w:tr>
          </w:tbl>
          <w:p w14:paraId="0A69CE2F" w14:textId="77777777" w:rsidR="0031607E" w:rsidRPr="0031607E" w:rsidRDefault="0031607E" w:rsidP="0031607E">
            <w:pPr>
              <w:rPr>
                <w:rFonts w:cs="Arial"/>
                <w:lang w:eastAsia="en-US"/>
              </w:rPr>
            </w:pPr>
          </w:p>
          <w:p w14:paraId="1817977A" w14:textId="77777777" w:rsidR="0031607E" w:rsidRPr="0031607E" w:rsidRDefault="0031607E" w:rsidP="0031607E">
            <w:pPr>
              <w:rPr>
                <w:rFonts w:cs="Arial"/>
                <w:lang w:eastAsia="en-US"/>
              </w:rPr>
            </w:pPr>
          </w:p>
          <w:p w14:paraId="5C1AD1D9" w14:textId="77777777" w:rsidR="0031607E" w:rsidRPr="0031607E" w:rsidRDefault="0031607E" w:rsidP="0031607E">
            <w:pPr>
              <w:rPr>
                <w:rFonts w:cs="Arial"/>
                <w:lang w:eastAsia="en-US"/>
              </w:rPr>
            </w:pPr>
            <w:r w:rsidRPr="0031607E">
              <w:rPr>
                <w:rFonts w:cs="Arial"/>
                <w:lang w:eastAsia="en-US"/>
              </w:rPr>
              <w:t>It is not possible at this stage to accurately measure the impact of the Housing and Growth Deal upon specific groups. Two things should be noted</w:t>
            </w:r>
          </w:p>
          <w:p w14:paraId="0BF16A52" w14:textId="77777777" w:rsidR="0031607E" w:rsidRPr="0031607E" w:rsidRDefault="0031607E" w:rsidP="0031607E">
            <w:pPr>
              <w:rPr>
                <w:rFonts w:cs="Arial"/>
                <w:lang w:eastAsia="en-US"/>
              </w:rPr>
            </w:pPr>
          </w:p>
          <w:p w14:paraId="47888243" w14:textId="77777777" w:rsidR="0031607E" w:rsidRPr="0031607E" w:rsidRDefault="0031607E" w:rsidP="005573AC">
            <w:pPr>
              <w:numPr>
                <w:ilvl w:val="0"/>
                <w:numId w:val="5"/>
              </w:numPr>
              <w:contextualSpacing/>
              <w:rPr>
                <w:rFonts w:eastAsiaTheme="minorHAnsi" w:cs="Arial"/>
                <w:lang w:eastAsia="en-US"/>
              </w:rPr>
            </w:pPr>
            <w:r w:rsidRPr="0031607E">
              <w:rPr>
                <w:rFonts w:eastAsiaTheme="minorHAnsi" w:cs="Arial"/>
                <w:lang w:eastAsia="en-US"/>
              </w:rPr>
              <w:t xml:space="preserve">The Deal brings additional resources to the county, predicated upon the completion of certain agreed delivery milestones. Whilst the Deal has a quantitative aspect – the payment according to the achievement of milestones – these are, for the delivery of infrastructure and affordable housing, indicative milestones that will be subject to further consideration and amendment. Once the projects are established and the project detail is understood, suitable detailed </w:t>
            </w:r>
            <w:proofErr w:type="spellStart"/>
            <w:r w:rsidRPr="0031607E">
              <w:rPr>
                <w:rFonts w:eastAsiaTheme="minorHAnsi" w:cs="Arial"/>
                <w:lang w:eastAsia="en-US"/>
              </w:rPr>
              <w:t>EqIA</w:t>
            </w:r>
            <w:proofErr w:type="spellEnd"/>
            <w:r w:rsidRPr="0031607E">
              <w:rPr>
                <w:rFonts w:eastAsiaTheme="minorHAnsi" w:cs="Arial"/>
                <w:lang w:eastAsia="en-US"/>
              </w:rPr>
              <w:t xml:space="preserve"> can and will be completed.</w:t>
            </w:r>
          </w:p>
          <w:p w14:paraId="5AFA2033" w14:textId="77777777" w:rsidR="0031607E" w:rsidRPr="0031607E" w:rsidRDefault="0031607E" w:rsidP="005573AC">
            <w:pPr>
              <w:numPr>
                <w:ilvl w:val="0"/>
                <w:numId w:val="5"/>
              </w:numPr>
              <w:contextualSpacing/>
              <w:rPr>
                <w:rFonts w:eastAsiaTheme="minorHAnsi" w:cs="Arial"/>
                <w:lang w:eastAsia="en-US"/>
              </w:rPr>
            </w:pPr>
            <w:r w:rsidRPr="0031607E">
              <w:rPr>
                <w:rFonts w:eastAsiaTheme="minorHAnsi" w:cs="Arial"/>
                <w:lang w:eastAsia="en-US"/>
              </w:rPr>
              <w:t xml:space="preserve">For the completion of the Statutory Joint Statutory Spatial Plan- the statutory process includes a full </w:t>
            </w:r>
            <w:proofErr w:type="spellStart"/>
            <w:r w:rsidRPr="0031607E">
              <w:rPr>
                <w:rFonts w:eastAsiaTheme="minorHAnsi" w:cs="Arial"/>
                <w:lang w:eastAsia="en-US"/>
              </w:rPr>
              <w:t>EqIA</w:t>
            </w:r>
            <w:proofErr w:type="spellEnd"/>
            <w:r w:rsidRPr="0031607E">
              <w:rPr>
                <w:rFonts w:eastAsiaTheme="minorHAnsi" w:cs="Arial"/>
                <w:lang w:eastAsia="en-US"/>
              </w:rPr>
              <w:t xml:space="preserve"> to be completed when appropriate </w:t>
            </w:r>
          </w:p>
          <w:p w14:paraId="48B238E4" w14:textId="77777777" w:rsidR="0031607E" w:rsidRPr="0031607E" w:rsidRDefault="0031607E" w:rsidP="0031607E">
            <w:pPr>
              <w:rPr>
                <w:rFonts w:cs="Arial"/>
                <w:lang w:eastAsia="en-US"/>
              </w:rPr>
            </w:pPr>
          </w:p>
          <w:p w14:paraId="783D6009" w14:textId="77777777" w:rsidR="0031607E" w:rsidRPr="0031607E" w:rsidRDefault="0031607E" w:rsidP="0031607E">
            <w:pPr>
              <w:rPr>
                <w:rFonts w:cs="Arial"/>
                <w:lang w:eastAsia="en-US"/>
              </w:rPr>
            </w:pPr>
          </w:p>
          <w:p w14:paraId="659A37F9" w14:textId="77777777" w:rsidR="0031607E" w:rsidRPr="0031607E" w:rsidRDefault="0031607E" w:rsidP="0031607E">
            <w:pPr>
              <w:rPr>
                <w:rFonts w:cs="Arial"/>
                <w:lang w:eastAsia="en-US"/>
              </w:rPr>
            </w:pPr>
          </w:p>
          <w:p w14:paraId="68622B4A" w14:textId="77777777" w:rsidR="0031607E" w:rsidRPr="0031607E" w:rsidRDefault="0031607E" w:rsidP="0031607E">
            <w:pPr>
              <w:rPr>
                <w:rFonts w:cs="Arial"/>
                <w:lang w:eastAsia="en-US"/>
              </w:rPr>
            </w:pPr>
          </w:p>
          <w:p w14:paraId="19239BF0" w14:textId="77777777" w:rsidR="0031607E" w:rsidRPr="0031607E" w:rsidRDefault="0031607E" w:rsidP="0031607E">
            <w:pPr>
              <w:rPr>
                <w:rFonts w:cs="Arial"/>
                <w:lang w:eastAsia="en-US"/>
              </w:rPr>
            </w:pPr>
          </w:p>
        </w:tc>
      </w:tr>
      <w:tr w:rsidR="0031607E" w:rsidRPr="0031607E" w14:paraId="12EA03CD" w14:textId="77777777" w:rsidTr="00E961BD">
        <w:tc>
          <w:tcPr>
            <w:tcW w:w="4219" w:type="dxa"/>
          </w:tcPr>
          <w:p w14:paraId="62B8664E" w14:textId="77777777" w:rsidR="0031607E" w:rsidRPr="0031607E" w:rsidRDefault="0031607E" w:rsidP="0031607E">
            <w:pPr>
              <w:rPr>
                <w:rFonts w:cs="Arial"/>
                <w:lang w:eastAsia="en-US"/>
              </w:rPr>
            </w:pPr>
            <w:r w:rsidRPr="0031607E">
              <w:rPr>
                <w:rFonts w:cs="Arial"/>
                <w:b/>
                <w:lang w:eastAsia="en-US"/>
              </w:rPr>
              <w:lastRenderedPageBreak/>
              <w:t>6. Consideration of Measures</w:t>
            </w:r>
            <w:r w:rsidRPr="0031607E">
              <w:rPr>
                <w:rFonts w:cs="Arial"/>
                <w:lang w:eastAsia="en-US"/>
              </w:rPr>
              <w:t>:</w:t>
            </w:r>
          </w:p>
          <w:p w14:paraId="5739A343" w14:textId="77777777" w:rsidR="0031607E" w:rsidRPr="0031607E" w:rsidRDefault="0031607E" w:rsidP="0031607E">
            <w:pPr>
              <w:rPr>
                <w:rFonts w:cs="Arial"/>
                <w:lang w:eastAsia="en-US"/>
              </w:rPr>
            </w:pPr>
          </w:p>
          <w:p w14:paraId="593934E1" w14:textId="77777777" w:rsidR="0031607E" w:rsidRPr="0031607E" w:rsidRDefault="0031607E" w:rsidP="0031607E">
            <w:pPr>
              <w:rPr>
                <w:rFonts w:cs="Arial"/>
                <w:lang w:eastAsia="en-US"/>
              </w:rPr>
            </w:pPr>
            <w:r w:rsidRPr="0031607E">
              <w:rPr>
                <w:rFonts w:cs="Arial"/>
                <w:lang w:eastAsia="en-US"/>
              </w:rPr>
              <w:t>This section should explain in detail all the consideration of alternative approaches/mitigation of adverse impact of the policy</w:t>
            </w:r>
          </w:p>
          <w:p w14:paraId="02AE7907" w14:textId="77777777" w:rsidR="0031607E" w:rsidRPr="0031607E" w:rsidRDefault="0031607E" w:rsidP="0031607E">
            <w:pPr>
              <w:rPr>
                <w:rFonts w:cs="Arial"/>
                <w:lang w:eastAsia="en-US"/>
              </w:rPr>
            </w:pPr>
          </w:p>
        </w:tc>
        <w:tc>
          <w:tcPr>
            <w:tcW w:w="10915" w:type="dxa"/>
            <w:gridSpan w:val="3"/>
          </w:tcPr>
          <w:p w14:paraId="7A65BA7C" w14:textId="77777777" w:rsidR="0031607E" w:rsidRPr="0031607E" w:rsidRDefault="0031607E" w:rsidP="0031607E">
            <w:pPr>
              <w:rPr>
                <w:rFonts w:cs="Arial"/>
                <w:lang w:eastAsia="en-US"/>
              </w:rPr>
            </w:pPr>
          </w:p>
          <w:p w14:paraId="2BB0290D" w14:textId="77777777" w:rsidR="0031607E" w:rsidRPr="0031607E" w:rsidRDefault="0031607E" w:rsidP="0031607E">
            <w:pPr>
              <w:rPr>
                <w:rFonts w:cs="Arial"/>
                <w:lang w:eastAsia="en-US"/>
              </w:rPr>
            </w:pPr>
            <w:r w:rsidRPr="0031607E">
              <w:rPr>
                <w:rFonts w:cs="Arial"/>
                <w:lang w:eastAsia="en-US"/>
              </w:rPr>
              <w:t xml:space="preserve">Should detailed </w:t>
            </w:r>
            <w:proofErr w:type="spellStart"/>
            <w:r w:rsidRPr="0031607E">
              <w:rPr>
                <w:rFonts w:cs="Arial"/>
                <w:lang w:eastAsia="en-US"/>
              </w:rPr>
              <w:t>EqIA</w:t>
            </w:r>
            <w:proofErr w:type="spellEnd"/>
            <w:r w:rsidRPr="0031607E">
              <w:rPr>
                <w:rFonts w:cs="Arial"/>
                <w:lang w:eastAsia="en-US"/>
              </w:rPr>
              <w:t xml:space="preserve"> for any of the projects within the Deal demonstrate that there are adverse impacts upon any relevant groups then they will be required to comply with statute and demonstrate </w:t>
            </w:r>
            <w:proofErr w:type="gramStart"/>
            <w:r w:rsidRPr="0031607E">
              <w:rPr>
                <w:rFonts w:cs="Arial"/>
                <w:lang w:eastAsia="en-US"/>
              </w:rPr>
              <w:t>mitigations.</w:t>
            </w:r>
            <w:proofErr w:type="gramEnd"/>
            <w:r w:rsidRPr="0031607E">
              <w:rPr>
                <w:rFonts w:cs="Arial"/>
                <w:lang w:eastAsia="en-US"/>
              </w:rPr>
              <w:br/>
            </w:r>
          </w:p>
          <w:p w14:paraId="2023A7D3" w14:textId="77777777" w:rsidR="0031607E" w:rsidRPr="0031607E" w:rsidRDefault="0031607E" w:rsidP="0031607E">
            <w:pPr>
              <w:rPr>
                <w:rFonts w:cs="Arial"/>
                <w:lang w:eastAsia="en-US"/>
              </w:rPr>
            </w:pPr>
          </w:p>
        </w:tc>
      </w:tr>
      <w:tr w:rsidR="0031607E" w:rsidRPr="0031607E" w14:paraId="3AB35E37" w14:textId="77777777" w:rsidTr="00E961BD">
        <w:trPr>
          <w:trHeight w:val="359"/>
        </w:trPr>
        <w:tc>
          <w:tcPr>
            <w:tcW w:w="4219" w:type="dxa"/>
          </w:tcPr>
          <w:p w14:paraId="36A08127" w14:textId="77777777" w:rsidR="0031607E" w:rsidRPr="0031607E" w:rsidRDefault="0031607E" w:rsidP="0031607E">
            <w:pPr>
              <w:rPr>
                <w:rFonts w:cs="Arial"/>
                <w:b/>
                <w:snapToGrid w:val="0"/>
                <w:color w:val="000000"/>
                <w:lang w:eastAsia="en-US"/>
              </w:rPr>
            </w:pPr>
            <w:r w:rsidRPr="0031607E">
              <w:rPr>
                <w:rFonts w:cs="Arial"/>
                <w:b/>
                <w:snapToGrid w:val="0"/>
                <w:color w:val="000000"/>
                <w:lang w:eastAsia="en-US"/>
              </w:rPr>
              <w:t>6a. Monitoring Arrangements:</w:t>
            </w:r>
          </w:p>
          <w:p w14:paraId="4687790E" w14:textId="77777777" w:rsidR="0031607E" w:rsidRPr="0031607E" w:rsidRDefault="0031607E" w:rsidP="0031607E">
            <w:pPr>
              <w:rPr>
                <w:rFonts w:cs="Arial"/>
                <w:snapToGrid w:val="0"/>
                <w:color w:val="000000"/>
                <w:lang w:eastAsia="en-US"/>
              </w:rPr>
            </w:pPr>
          </w:p>
          <w:p w14:paraId="563BD74A" w14:textId="77777777" w:rsidR="0031607E" w:rsidRPr="0031607E" w:rsidRDefault="0031607E" w:rsidP="0031607E">
            <w:pPr>
              <w:rPr>
                <w:rFonts w:cs="Arial"/>
                <w:lang w:eastAsia="en-US"/>
              </w:rPr>
            </w:pPr>
            <w:r w:rsidRPr="0031607E">
              <w:rPr>
                <w:rFonts w:cs="Arial"/>
                <w:snapToGrid w:val="0"/>
                <w:color w:val="000000"/>
                <w:lang w:eastAsia="en-US"/>
              </w:rPr>
              <w:t xml:space="preserve">Outline systems which will be put in place to monitor for adverse impact in the future and this should include all relevant timetables. In addition it could include a </w:t>
            </w:r>
            <w:r w:rsidRPr="0031607E">
              <w:rPr>
                <w:rFonts w:cs="Arial"/>
                <w:lang w:eastAsia="en-US"/>
              </w:rPr>
              <w:t xml:space="preserve">summary and assessment of your monitoring, making clear whether you found any evidence of discrimination. </w:t>
            </w:r>
          </w:p>
        </w:tc>
        <w:tc>
          <w:tcPr>
            <w:tcW w:w="10915" w:type="dxa"/>
            <w:gridSpan w:val="3"/>
          </w:tcPr>
          <w:p w14:paraId="50BF1D7B" w14:textId="77777777" w:rsidR="0031607E" w:rsidRPr="0031607E" w:rsidRDefault="0031607E" w:rsidP="0031607E">
            <w:pPr>
              <w:rPr>
                <w:rFonts w:cs="Arial"/>
                <w:lang w:eastAsia="en-US"/>
              </w:rPr>
            </w:pPr>
            <w:r w:rsidRPr="0031607E">
              <w:rPr>
                <w:rFonts w:cs="Arial"/>
                <w:lang w:eastAsia="en-US"/>
              </w:rPr>
              <w:t xml:space="preserve"> </w:t>
            </w:r>
          </w:p>
          <w:p w14:paraId="4EDACB3A" w14:textId="77777777" w:rsidR="0031607E" w:rsidRPr="0031607E" w:rsidRDefault="0031607E" w:rsidP="0031607E">
            <w:pPr>
              <w:rPr>
                <w:rFonts w:cs="Arial"/>
                <w:lang w:eastAsia="en-US"/>
              </w:rPr>
            </w:pPr>
            <w:r w:rsidRPr="0031607E">
              <w:rPr>
                <w:rFonts w:cs="Arial"/>
                <w:lang w:eastAsia="en-US"/>
              </w:rPr>
              <w:t xml:space="preserve">The Deal will be undertaken by a bespoke structure to be agreed by the Growth Board and Delivery against the milestones of the Deal will be reported to the Growth Board via a bespoke reporting and performance management structure that will be developed upon the Deal’s agreement. This will include a regime of monitoring for equality issues   </w:t>
            </w:r>
          </w:p>
        </w:tc>
      </w:tr>
      <w:tr w:rsidR="0031607E" w:rsidRPr="0031607E" w14:paraId="693D515B" w14:textId="77777777" w:rsidTr="00E961BD">
        <w:trPr>
          <w:trHeight w:val="782"/>
        </w:trPr>
        <w:tc>
          <w:tcPr>
            <w:tcW w:w="4219" w:type="dxa"/>
          </w:tcPr>
          <w:p w14:paraId="0E323E46" w14:textId="77777777" w:rsidR="0031607E" w:rsidRPr="0031607E" w:rsidRDefault="0031607E" w:rsidP="0031607E">
            <w:pPr>
              <w:rPr>
                <w:rFonts w:cs="Arial"/>
                <w:lang w:eastAsia="en-US"/>
              </w:rPr>
            </w:pPr>
            <w:r w:rsidRPr="0031607E">
              <w:rPr>
                <w:rFonts w:cs="Arial"/>
                <w:b/>
                <w:lang w:eastAsia="en-US"/>
              </w:rPr>
              <w:t>8. Conclusions</w:t>
            </w:r>
            <w:r w:rsidRPr="0031607E">
              <w:rPr>
                <w:rFonts w:cs="Arial"/>
                <w:lang w:eastAsia="en-US"/>
              </w:rPr>
              <w:t>:</w:t>
            </w:r>
          </w:p>
          <w:p w14:paraId="388BB230" w14:textId="77777777" w:rsidR="0031607E" w:rsidRPr="0031607E" w:rsidRDefault="0031607E" w:rsidP="0031607E">
            <w:pPr>
              <w:rPr>
                <w:rFonts w:cs="Arial"/>
                <w:lang w:eastAsia="en-US"/>
              </w:rPr>
            </w:pPr>
          </w:p>
          <w:p w14:paraId="623F9C19" w14:textId="77777777" w:rsidR="0031607E" w:rsidRPr="0031607E" w:rsidRDefault="0031607E" w:rsidP="0031607E">
            <w:pPr>
              <w:rPr>
                <w:rFonts w:cs="Arial"/>
                <w:lang w:eastAsia="en-US"/>
              </w:rPr>
            </w:pPr>
            <w:r w:rsidRPr="0031607E">
              <w:rPr>
                <w:rFonts w:cs="Arial"/>
                <w:lang w:eastAsia="en-US"/>
              </w:rPr>
              <w:t>What are your conclusions drawn from the results in terms of the policy impact</w:t>
            </w:r>
          </w:p>
        </w:tc>
        <w:tc>
          <w:tcPr>
            <w:tcW w:w="10915" w:type="dxa"/>
            <w:gridSpan w:val="3"/>
          </w:tcPr>
          <w:p w14:paraId="3D5461EB" w14:textId="77777777" w:rsidR="0031607E" w:rsidRPr="0031607E" w:rsidRDefault="0031607E" w:rsidP="0031607E">
            <w:pPr>
              <w:rPr>
                <w:rFonts w:cs="Arial"/>
                <w:lang w:eastAsia="en-US"/>
              </w:rPr>
            </w:pPr>
            <w:r w:rsidRPr="0031607E">
              <w:rPr>
                <w:rFonts w:cs="Arial"/>
                <w:lang w:eastAsia="en-US"/>
              </w:rPr>
              <w:t xml:space="preserve">The Deal is a substantial initiative for Oxfordshire, the equalities aspects of which will need to be rigorously assessed and mitigated where appropriate. However at this stage there is not enough detail on the Deal’s outputs to be able to offer any more than a recognition that equalities impacts will be a key component of the performance management of the Deal as it evolves and that each component of the Deal will require a separate </w:t>
            </w:r>
            <w:proofErr w:type="spellStart"/>
            <w:r w:rsidRPr="0031607E">
              <w:rPr>
                <w:rFonts w:cs="Arial"/>
                <w:lang w:eastAsia="en-US"/>
              </w:rPr>
              <w:t>EqIA</w:t>
            </w:r>
            <w:proofErr w:type="spellEnd"/>
            <w:r w:rsidRPr="0031607E">
              <w:rPr>
                <w:rFonts w:cs="Arial"/>
                <w:lang w:eastAsia="en-US"/>
              </w:rPr>
              <w:t xml:space="preserve"> that will enable that detailed assessment to take place.</w:t>
            </w:r>
          </w:p>
        </w:tc>
      </w:tr>
    </w:tbl>
    <w:p w14:paraId="7066F9DB" w14:textId="77777777" w:rsidR="0031607E" w:rsidRPr="0031607E" w:rsidRDefault="0031607E" w:rsidP="0031607E">
      <w:pPr>
        <w:rPr>
          <w:rFonts w:cs="Arial"/>
          <w:lang w:eastAsia="en-US"/>
        </w:rPr>
      </w:pPr>
    </w:p>
    <w:p w14:paraId="398C32AE" w14:textId="77777777" w:rsidR="0031607E" w:rsidRPr="0031607E" w:rsidRDefault="0031607E" w:rsidP="0031607E">
      <w:pPr>
        <w:rPr>
          <w:rFonts w:cs="Arial"/>
          <w:lang w:eastAsia="en-US"/>
        </w:rPr>
      </w:pPr>
    </w:p>
    <w:p w14:paraId="52811B3F" w14:textId="77777777" w:rsidR="0031607E" w:rsidRPr="0031607E" w:rsidRDefault="0031607E" w:rsidP="0031607E">
      <w:pPr>
        <w:rPr>
          <w:rFonts w:cs="Arial"/>
          <w:lang w:eastAsia="en-US"/>
        </w:rPr>
      </w:pPr>
      <w:r w:rsidRPr="0031607E">
        <w:rPr>
          <w:rFonts w:cs="Arial"/>
          <w:lang w:eastAsia="en-US"/>
        </w:rPr>
        <w:t>Signed (completing officer)</w:t>
      </w:r>
      <w:r w:rsidRPr="0031607E">
        <w:rPr>
          <w:rFonts w:cs="Arial"/>
          <w:lang w:eastAsia="en-US"/>
        </w:rPr>
        <w:tab/>
      </w:r>
      <w:r w:rsidRPr="0031607E">
        <w:rPr>
          <w:rFonts w:cs="Arial"/>
          <w:lang w:eastAsia="en-US"/>
        </w:rPr>
        <w:tab/>
      </w:r>
      <w:r w:rsidRPr="0031607E">
        <w:rPr>
          <w:rFonts w:cs="Arial"/>
          <w:lang w:eastAsia="en-US"/>
        </w:rPr>
        <w:tab/>
      </w:r>
      <w:r w:rsidRPr="0031607E">
        <w:rPr>
          <w:rFonts w:cs="Arial"/>
          <w:lang w:eastAsia="en-US"/>
        </w:rPr>
        <w:tab/>
      </w:r>
      <w:r w:rsidRPr="0031607E">
        <w:rPr>
          <w:rFonts w:cs="Arial"/>
          <w:lang w:eastAsia="en-US"/>
        </w:rPr>
        <w:tab/>
      </w:r>
      <w:r w:rsidRPr="0031607E">
        <w:rPr>
          <w:rFonts w:cs="Arial"/>
          <w:lang w:eastAsia="en-US"/>
        </w:rPr>
        <w:tab/>
      </w:r>
      <w:r w:rsidRPr="0031607E">
        <w:rPr>
          <w:rFonts w:cs="Arial"/>
          <w:lang w:eastAsia="en-US"/>
        </w:rPr>
        <w:tab/>
      </w:r>
      <w:r w:rsidRPr="0031607E">
        <w:rPr>
          <w:rFonts w:cs="Arial"/>
          <w:lang w:eastAsia="en-US"/>
        </w:rPr>
        <w:tab/>
        <w:t>Signed (Lead Officer)</w:t>
      </w:r>
    </w:p>
    <w:p w14:paraId="3DFF1827" w14:textId="77777777" w:rsidR="0031607E" w:rsidRPr="0031607E" w:rsidRDefault="0031607E" w:rsidP="0031607E">
      <w:pPr>
        <w:rPr>
          <w:rFonts w:cs="Arial"/>
          <w:lang w:eastAsia="en-US"/>
        </w:rPr>
      </w:pPr>
    </w:p>
    <w:p w14:paraId="6E48E210" w14:textId="4BED577E" w:rsidR="0031607E" w:rsidRPr="003048F2" w:rsidRDefault="0031607E" w:rsidP="003048F2">
      <w:pPr>
        <w:pStyle w:val="ReportPara"/>
        <w:numPr>
          <w:ilvl w:val="0"/>
          <w:numId w:val="0"/>
        </w:numPr>
        <w:spacing w:after="0"/>
        <w:ind w:left="360"/>
        <w:jc w:val="both"/>
        <w:rPr>
          <w:rFonts w:cs="Arial"/>
          <w:szCs w:val="24"/>
        </w:rPr>
      </w:pPr>
    </w:p>
    <w:sectPr w:rsidR="0031607E" w:rsidRPr="003048F2" w:rsidSect="00E436C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F6E68" w15:done="0"/>
  <w15:commentEx w15:paraId="7C83CE40" w15:done="0"/>
  <w15:commentEx w15:paraId="2279107B" w15:done="0"/>
  <w15:commentEx w15:paraId="6E138EFF" w15:done="0"/>
  <w15:commentEx w15:paraId="65F8414A" w15:done="0"/>
  <w15:commentEx w15:paraId="0D6F85A3" w15:done="0"/>
  <w15:commentEx w15:paraId="4573AF03" w15:done="0"/>
  <w15:commentEx w15:paraId="7ED51561" w15:done="0"/>
  <w15:commentEx w15:paraId="186FD2E9" w15:done="0"/>
  <w15:commentEx w15:paraId="1A3A7ADA" w15:done="0"/>
  <w15:commentEx w15:paraId="64EF0776" w15:done="0"/>
  <w15:commentEx w15:paraId="55E11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AFF59" w14:textId="77777777" w:rsidR="001762AE" w:rsidRDefault="001762AE">
      <w:r>
        <w:separator/>
      </w:r>
    </w:p>
  </w:endnote>
  <w:endnote w:type="continuationSeparator" w:id="0">
    <w:p w14:paraId="2F6252EE" w14:textId="77777777" w:rsidR="001762AE" w:rsidRDefault="0017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E150" w14:textId="77777777" w:rsidR="006C2B29" w:rsidRDefault="00E43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5410" w14:textId="630F21FD" w:rsidR="006C2B29" w:rsidRPr="000B0D2A" w:rsidRDefault="00E436C2" w:rsidP="000B0D2A">
    <w:pPr>
      <w:pStyle w:val="Footer"/>
      <w:tabs>
        <w:tab w:val="left" w:pos="4111"/>
      </w:tabs>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9E15" w14:textId="77777777" w:rsidR="006C2B29" w:rsidRDefault="00E43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53E7" w14:textId="77777777" w:rsidR="001762AE" w:rsidRDefault="001762AE">
      <w:r>
        <w:separator/>
      </w:r>
    </w:p>
  </w:footnote>
  <w:footnote w:type="continuationSeparator" w:id="0">
    <w:p w14:paraId="02243999" w14:textId="77777777" w:rsidR="001762AE" w:rsidRDefault="0017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68F4" w14:textId="77777777" w:rsidR="006C2B29" w:rsidRDefault="00E43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D77F9" w14:textId="77777777" w:rsidR="006C2B29" w:rsidRDefault="00E43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1D1F" w14:textId="77777777" w:rsidR="006C2B29" w:rsidRDefault="00E43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AB50B0"/>
    <w:multiLevelType w:val="multilevel"/>
    <w:tmpl w:val="61B8668A"/>
    <w:lvl w:ilvl="0">
      <w:start w:val="1"/>
      <w:numFmt w:val="decimal"/>
      <w:pStyle w:val="Heading1"/>
      <w:lvlText w:val="%1."/>
      <w:lvlJc w:val="left"/>
      <w:pPr>
        <w:tabs>
          <w:tab w:val="num" w:pos="360"/>
        </w:tabs>
        <w:ind w:left="360" w:hanging="360"/>
      </w:pPr>
      <w:rPr>
        <w:rFonts w:hint="default"/>
      </w:rPr>
    </w:lvl>
    <w:lvl w:ilvl="1">
      <w:start w:val="1"/>
      <w:numFmt w:val="decimal"/>
      <w:pStyle w:val="ReportPara"/>
      <w:lvlText w:val="%1.%2."/>
      <w:lvlJc w:val="left"/>
      <w:pPr>
        <w:tabs>
          <w:tab w:val="num" w:pos="1142"/>
        </w:tabs>
        <w:ind w:left="114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897A05"/>
    <w:multiLevelType w:val="hybridMultilevel"/>
    <w:tmpl w:val="61A67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BB044E"/>
    <w:multiLevelType w:val="hybridMultilevel"/>
    <w:tmpl w:val="B2F4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43E30"/>
    <w:multiLevelType w:val="hybridMultilevel"/>
    <w:tmpl w:val="5C581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845FB7"/>
    <w:multiLevelType w:val="hybridMultilevel"/>
    <w:tmpl w:val="5D9ED69A"/>
    <w:lvl w:ilvl="0" w:tplc="08090003">
      <w:start w:val="1"/>
      <w:numFmt w:val="bullet"/>
      <w:lvlText w:val="o"/>
      <w:lvlJc w:val="left"/>
      <w:pPr>
        <w:ind w:left="754" w:hanging="360"/>
      </w:pPr>
      <w:rPr>
        <w:rFonts w:ascii="Courier New" w:hAnsi="Courier New" w:cs="Courier New" w:hint="default"/>
      </w:rPr>
    </w:lvl>
    <w:lvl w:ilvl="1" w:tplc="08090001">
      <w:start w:val="1"/>
      <w:numFmt w:val="bullet"/>
      <w:lvlText w:val=""/>
      <w:lvlJc w:val="left"/>
      <w:pPr>
        <w:ind w:left="1474"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nsid w:val="37882264"/>
    <w:multiLevelType w:val="multilevel"/>
    <w:tmpl w:val="276E2260"/>
    <w:lvl w:ilvl="0">
      <w:start w:val="3"/>
      <w:numFmt w:val="decimal"/>
      <w:lvlText w:val="%1"/>
      <w:lvlJc w:val="left"/>
      <w:pPr>
        <w:ind w:left="465" w:hanging="465"/>
      </w:pPr>
      <w:rPr>
        <w:rFonts w:hint="default"/>
      </w:rPr>
    </w:lvl>
    <w:lvl w:ilvl="1">
      <w:start w:val="37"/>
      <w:numFmt w:val="decimal"/>
      <w:lvlText w:val="%1.%2"/>
      <w:lvlJc w:val="left"/>
      <w:pPr>
        <w:ind w:left="2064" w:hanging="465"/>
      </w:pPr>
      <w:rPr>
        <w:rFonts w:hint="default"/>
      </w:rPr>
    </w:lvl>
    <w:lvl w:ilvl="2">
      <w:start w:val="1"/>
      <w:numFmt w:val="decimal"/>
      <w:lvlText w:val="%1.%2.%3"/>
      <w:lvlJc w:val="left"/>
      <w:pPr>
        <w:ind w:left="3918" w:hanging="720"/>
      </w:pPr>
      <w:rPr>
        <w:rFonts w:hint="default"/>
      </w:rPr>
    </w:lvl>
    <w:lvl w:ilvl="3">
      <w:start w:val="1"/>
      <w:numFmt w:val="decimal"/>
      <w:lvlText w:val="%1.%2.%3.%4"/>
      <w:lvlJc w:val="left"/>
      <w:pPr>
        <w:ind w:left="5877" w:hanging="1080"/>
      </w:pPr>
      <w:rPr>
        <w:rFonts w:hint="default"/>
      </w:rPr>
    </w:lvl>
    <w:lvl w:ilvl="4">
      <w:start w:val="1"/>
      <w:numFmt w:val="decimal"/>
      <w:lvlText w:val="%1.%2.%3.%4.%5"/>
      <w:lvlJc w:val="left"/>
      <w:pPr>
        <w:ind w:left="7476" w:hanging="1080"/>
      </w:pPr>
      <w:rPr>
        <w:rFonts w:hint="default"/>
      </w:rPr>
    </w:lvl>
    <w:lvl w:ilvl="5">
      <w:start w:val="1"/>
      <w:numFmt w:val="decimal"/>
      <w:lvlText w:val="%1.%2.%3.%4.%5.%6"/>
      <w:lvlJc w:val="left"/>
      <w:pPr>
        <w:ind w:left="9435" w:hanging="1440"/>
      </w:pPr>
      <w:rPr>
        <w:rFonts w:hint="default"/>
      </w:rPr>
    </w:lvl>
    <w:lvl w:ilvl="6">
      <w:start w:val="1"/>
      <w:numFmt w:val="decimal"/>
      <w:lvlText w:val="%1.%2.%3.%4.%5.%6.%7"/>
      <w:lvlJc w:val="left"/>
      <w:pPr>
        <w:ind w:left="11034" w:hanging="1440"/>
      </w:pPr>
      <w:rPr>
        <w:rFonts w:hint="default"/>
      </w:rPr>
    </w:lvl>
    <w:lvl w:ilvl="7">
      <w:start w:val="1"/>
      <w:numFmt w:val="decimal"/>
      <w:lvlText w:val="%1.%2.%3.%4.%5.%6.%7.%8"/>
      <w:lvlJc w:val="left"/>
      <w:pPr>
        <w:ind w:left="12993" w:hanging="1800"/>
      </w:pPr>
      <w:rPr>
        <w:rFonts w:hint="default"/>
      </w:rPr>
    </w:lvl>
    <w:lvl w:ilvl="8">
      <w:start w:val="1"/>
      <w:numFmt w:val="decimal"/>
      <w:lvlText w:val="%1.%2.%3.%4.%5.%6.%7.%8.%9"/>
      <w:lvlJc w:val="left"/>
      <w:pPr>
        <w:ind w:left="14592" w:hanging="1800"/>
      </w:pPr>
      <w:rPr>
        <w:rFonts w:hint="default"/>
      </w:rPr>
    </w:lvl>
  </w:abstractNum>
  <w:abstractNum w:abstractNumId="8">
    <w:nsid w:val="3FD75B7C"/>
    <w:multiLevelType w:val="hybridMultilevel"/>
    <w:tmpl w:val="14E4B51E"/>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nsid w:val="4AA5676D"/>
    <w:multiLevelType w:val="hybridMultilevel"/>
    <w:tmpl w:val="F6BAD8E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0">
    <w:nsid w:val="4F8B56C7"/>
    <w:multiLevelType w:val="hybridMultilevel"/>
    <w:tmpl w:val="A6EE69F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51945C28"/>
    <w:multiLevelType w:val="multilevel"/>
    <w:tmpl w:val="57663656"/>
    <w:lvl w:ilvl="0">
      <w:start w:val="3"/>
      <w:numFmt w:val="decimal"/>
      <w:lvlText w:val="%1"/>
      <w:lvlJc w:val="left"/>
      <w:pPr>
        <w:ind w:left="465" w:hanging="465"/>
      </w:pPr>
      <w:rPr>
        <w:rFonts w:hint="default"/>
      </w:rPr>
    </w:lvl>
    <w:lvl w:ilvl="1">
      <w:start w:val="34"/>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nsid w:val="521A70EB"/>
    <w:multiLevelType w:val="hybridMultilevel"/>
    <w:tmpl w:val="7AA4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47921"/>
    <w:multiLevelType w:val="multilevel"/>
    <w:tmpl w:val="6D188E12"/>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4">
    <w:nsid w:val="619F6496"/>
    <w:multiLevelType w:val="hybridMultilevel"/>
    <w:tmpl w:val="30BCE6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52CE0"/>
    <w:multiLevelType w:val="multilevel"/>
    <w:tmpl w:val="8BCA35A0"/>
    <w:lvl w:ilvl="0">
      <w:start w:val="3"/>
      <w:numFmt w:val="decimal"/>
      <w:lvlText w:val="%1"/>
      <w:lvlJc w:val="left"/>
      <w:pPr>
        <w:ind w:left="465" w:hanging="465"/>
      </w:pPr>
      <w:rPr>
        <w:rFonts w:hint="default"/>
      </w:rPr>
    </w:lvl>
    <w:lvl w:ilvl="1">
      <w:start w:val="28"/>
      <w:numFmt w:val="decimal"/>
      <w:lvlText w:val="%1.%2"/>
      <w:lvlJc w:val="left"/>
      <w:pPr>
        <w:ind w:left="1458" w:hanging="465"/>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6">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0"/>
  </w:num>
  <w:num w:numId="3">
    <w:abstractNumId w:val="13"/>
  </w:num>
  <w:num w:numId="4">
    <w:abstractNumId w:val="4"/>
  </w:num>
  <w:num w:numId="5">
    <w:abstractNumId w:val="5"/>
  </w:num>
  <w:num w:numId="6">
    <w:abstractNumId w:val="12"/>
  </w:num>
  <w:num w:numId="7">
    <w:abstractNumId w:val="15"/>
  </w:num>
  <w:num w:numId="8">
    <w:abstractNumId w:val="11"/>
  </w:num>
  <w:num w:numId="9">
    <w:abstractNumId w:val="7"/>
  </w:num>
  <w:num w:numId="10">
    <w:abstractNumId w:val="2"/>
  </w:num>
  <w:num w:numId="11">
    <w:abstractNumId w:val="8"/>
  </w:num>
  <w:num w:numId="12">
    <w:abstractNumId w:val="14"/>
  </w:num>
  <w:num w:numId="13">
    <w:abstractNumId w:val="9"/>
  </w:num>
  <w:num w:numId="14">
    <w:abstractNumId w:val="0"/>
  </w:num>
  <w:num w:numId="15">
    <w:abstractNumId w:val="16"/>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own">
    <w15:presenceInfo w15:providerId="AD" w15:userId="S-1-5-21-976590890-3550147883-1238988091-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D"/>
    <w:rsid w:val="000004AD"/>
    <w:rsid w:val="000017AD"/>
    <w:rsid w:val="0000199D"/>
    <w:rsid w:val="00006DC2"/>
    <w:rsid w:val="0001201D"/>
    <w:rsid w:val="00013999"/>
    <w:rsid w:val="000171C2"/>
    <w:rsid w:val="000206AB"/>
    <w:rsid w:val="00022004"/>
    <w:rsid w:val="00022E05"/>
    <w:rsid w:val="00024EB8"/>
    <w:rsid w:val="00027DB4"/>
    <w:rsid w:val="00031DE8"/>
    <w:rsid w:val="000323C0"/>
    <w:rsid w:val="0003289B"/>
    <w:rsid w:val="0003446B"/>
    <w:rsid w:val="0003463D"/>
    <w:rsid w:val="0003751D"/>
    <w:rsid w:val="000379EA"/>
    <w:rsid w:val="0004049E"/>
    <w:rsid w:val="00040A80"/>
    <w:rsid w:val="00043715"/>
    <w:rsid w:val="00043786"/>
    <w:rsid w:val="00050870"/>
    <w:rsid w:val="00051C1A"/>
    <w:rsid w:val="0005200C"/>
    <w:rsid w:val="00052957"/>
    <w:rsid w:val="00053045"/>
    <w:rsid w:val="000557EF"/>
    <w:rsid w:val="000560C2"/>
    <w:rsid w:val="00060DFF"/>
    <w:rsid w:val="00060FCA"/>
    <w:rsid w:val="0006113E"/>
    <w:rsid w:val="00061819"/>
    <w:rsid w:val="00063A3A"/>
    <w:rsid w:val="00065172"/>
    <w:rsid w:val="00066149"/>
    <w:rsid w:val="00066853"/>
    <w:rsid w:val="000677E9"/>
    <w:rsid w:val="00071229"/>
    <w:rsid w:val="00071C2B"/>
    <w:rsid w:val="00071EA5"/>
    <w:rsid w:val="00074000"/>
    <w:rsid w:val="00074125"/>
    <w:rsid w:val="00076F72"/>
    <w:rsid w:val="00077783"/>
    <w:rsid w:val="00081C25"/>
    <w:rsid w:val="00081F66"/>
    <w:rsid w:val="000831D2"/>
    <w:rsid w:val="00085460"/>
    <w:rsid w:val="00087788"/>
    <w:rsid w:val="00090C0C"/>
    <w:rsid w:val="00093E3B"/>
    <w:rsid w:val="00094547"/>
    <w:rsid w:val="00096A3D"/>
    <w:rsid w:val="000A0797"/>
    <w:rsid w:val="000A0809"/>
    <w:rsid w:val="000A33F9"/>
    <w:rsid w:val="000A3F24"/>
    <w:rsid w:val="000A40A9"/>
    <w:rsid w:val="000A5721"/>
    <w:rsid w:val="000A64AD"/>
    <w:rsid w:val="000A780A"/>
    <w:rsid w:val="000A7962"/>
    <w:rsid w:val="000B3230"/>
    <w:rsid w:val="000B65C7"/>
    <w:rsid w:val="000C1301"/>
    <w:rsid w:val="000C1438"/>
    <w:rsid w:val="000C2506"/>
    <w:rsid w:val="000C5826"/>
    <w:rsid w:val="000C7782"/>
    <w:rsid w:val="000C7A73"/>
    <w:rsid w:val="000D1B86"/>
    <w:rsid w:val="000D2B15"/>
    <w:rsid w:val="000D3C79"/>
    <w:rsid w:val="000D5B5E"/>
    <w:rsid w:val="000D7B63"/>
    <w:rsid w:val="000E152E"/>
    <w:rsid w:val="000E19C9"/>
    <w:rsid w:val="000E2523"/>
    <w:rsid w:val="000E4FBD"/>
    <w:rsid w:val="000E54C6"/>
    <w:rsid w:val="000E56F8"/>
    <w:rsid w:val="000E6911"/>
    <w:rsid w:val="000E7420"/>
    <w:rsid w:val="000F0461"/>
    <w:rsid w:val="000F0758"/>
    <w:rsid w:val="000F0E18"/>
    <w:rsid w:val="000F197E"/>
    <w:rsid w:val="000F1EA4"/>
    <w:rsid w:val="000F2652"/>
    <w:rsid w:val="000F3E96"/>
    <w:rsid w:val="000F5DF4"/>
    <w:rsid w:val="000F6BAE"/>
    <w:rsid w:val="0010008D"/>
    <w:rsid w:val="00100335"/>
    <w:rsid w:val="0010108D"/>
    <w:rsid w:val="001042B8"/>
    <w:rsid w:val="001044D4"/>
    <w:rsid w:val="00105133"/>
    <w:rsid w:val="00106863"/>
    <w:rsid w:val="00107DF9"/>
    <w:rsid w:val="00110154"/>
    <w:rsid w:val="00110A28"/>
    <w:rsid w:val="0011123A"/>
    <w:rsid w:val="00114056"/>
    <w:rsid w:val="0011799B"/>
    <w:rsid w:val="00124AE4"/>
    <w:rsid w:val="001257DE"/>
    <w:rsid w:val="00130606"/>
    <w:rsid w:val="001329AF"/>
    <w:rsid w:val="00133E28"/>
    <w:rsid w:val="00135B67"/>
    <w:rsid w:val="00136B68"/>
    <w:rsid w:val="00140AE6"/>
    <w:rsid w:val="00141F15"/>
    <w:rsid w:val="001443F3"/>
    <w:rsid w:val="00146FEF"/>
    <w:rsid w:val="00150267"/>
    <w:rsid w:val="00150F22"/>
    <w:rsid w:val="00152161"/>
    <w:rsid w:val="00152D91"/>
    <w:rsid w:val="001533F2"/>
    <w:rsid w:val="0015445F"/>
    <w:rsid w:val="0015478B"/>
    <w:rsid w:val="00155A41"/>
    <w:rsid w:val="00157FA5"/>
    <w:rsid w:val="00160764"/>
    <w:rsid w:val="00162524"/>
    <w:rsid w:val="001627D3"/>
    <w:rsid w:val="00167D4A"/>
    <w:rsid w:val="00170055"/>
    <w:rsid w:val="00170817"/>
    <w:rsid w:val="00171F0D"/>
    <w:rsid w:val="00173A72"/>
    <w:rsid w:val="00173EC1"/>
    <w:rsid w:val="001762AE"/>
    <w:rsid w:val="0018023D"/>
    <w:rsid w:val="00180546"/>
    <w:rsid w:val="00181A10"/>
    <w:rsid w:val="001830CC"/>
    <w:rsid w:val="001847D6"/>
    <w:rsid w:val="0018721D"/>
    <w:rsid w:val="0018789D"/>
    <w:rsid w:val="00190572"/>
    <w:rsid w:val="00190926"/>
    <w:rsid w:val="001956BF"/>
    <w:rsid w:val="00196C8A"/>
    <w:rsid w:val="00197CE5"/>
    <w:rsid w:val="001A2995"/>
    <w:rsid w:val="001A2F86"/>
    <w:rsid w:val="001A3F5A"/>
    <w:rsid w:val="001A4A1B"/>
    <w:rsid w:val="001A5E0E"/>
    <w:rsid w:val="001A64BB"/>
    <w:rsid w:val="001A7ABA"/>
    <w:rsid w:val="001B0599"/>
    <w:rsid w:val="001B25C4"/>
    <w:rsid w:val="001C2FDB"/>
    <w:rsid w:val="001C3C71"/>
    <w:rsid w:val="001C7141"/>
    <w:rsid w:val="001D024A"/>
    <w:rsid w:val="001D41F5"/>
    <w:rsid w:val="001D4AA6"/>
    <w:rsid w:val="001D4E81"/>
    <w:rsid w:val="001D4FAE"/>
    <w:rsid w:val="001E0136"/>
    <w:rsid w:val="001E0EE8"/>
    <w:rsid w:val="001E251E"/>
    <w:rsid w:val="001E2843"/>
    <w:rsid w:val="001E58A1"/>
    <w:rsid w:val="001E5CFE"/>
    <w:rsid w:val="001E782D"/>
    <w:rsid w:val="001E7C58"/>
    <w:rsid w:val="001F2629"/>
    <w:rsid w:val="001F618E"/>
    <w:rsid w:val="001F7133"/>
    <w:rsid w:val="001F728B"/>
    <w:rsid w:val="001F7975"/>
    <w:rsid w:val="002000C7"/>
    <w:rsid w:val="00200D36"/>
    <w:rsid w:val="00200E98"/>
    <w:rsid w:val="00201501"/>
    <w:rsid w:val="0020292F"/>
    <w:rsid w:val="00205EAC"/>
    <w:rsid w:val="00206E08"/>
    <w:rsid w:val="00215A3E"/>
    <w:rsid w:val="002217D8"/>
    <w:rsid w:val="00223231"/>
    <w:rsid w:val="00225655"/>
    <w:rsid w:val="00227412"/>
    <w:rsid w:val="00231F3E"/>
    <w:rsid w:val="00235BD4"/>
    <w:rsid w:val="0024300F"/>
    <w:rsid w:val="00243A83"/>
    <w:rsid w:val="0024477C"/>
    <w:rsid w:val="00245C08"/>
    <w:rsid w:val="0024612D"/>
    <w:rsid w:val="002528D4"/>
    <w:rsid w:val="00252C39"/>
    <w:rsid w:val="002542E8"/>
    <w:rsid w:val="0025465A"/>
    <w:rsid w:val="00255D51"/>
    <w:rsid w:val="00256746"/>
    <w:rsid w:val="00260499"/>
    <w:rsid w:val="00260C19"/>
    <w:rsid w:val="00262677"/>
    <w:rsid w:val="002646A4"/>
    <w:rsid w:val="00264D17"/>
    <w:rsid w:val="002659D1"/>
    <w:rsid w:val="00265AE5"/>
    <w:rsid w:val="00265C73"/>
    <w:rsid w:val="002668B9"/>
    <w:rsid w:val="002810CA"/>
    <w:rsid w:val="00282051"/>
    <w:rsid w:val="00284B97"/>
    <w:rsid w:val="00285E52"/>
    <w:rsid w:val="002862BC"/>
    <w:rsid w:val="002863D0"/>
    <w:rsid w:val="00293DA6"/>
    <w:rsid w:val="002940D6"/>
    <w:rsid w:val="0029662E"/>
    <w:rsid w:val="002A21BF"/>
    <w:rsid w:val="002A2203"/>
    <w:rsid w:val="002A497E"/>
    <w:rsid w:val="002A4E04"/>
    <w:rsid w:val="002B048C"/>
    <w:rsid w:val="002B39DC"/>
    <w:rsid w:val="002B5663"/>
    <w:rsid w:val="002C72E1"/>
    <w:rsid w:val="002C797A"/>
    <w:rsid w:val="002D27E1"/>
    <w:rsid w:val="002D4CC7"/>
    <w:rsid w:val="002D4F58"/>
    <w:rsid w:val="002D54E0"/>
    <w:rsid w:val="002D685E"/>
    <w:rsid w:val="002D7735"/>
    <w:rsid w:val="002E220C"/>
    <w:rsid w:val="002F2EF9"/>
    <w:rsid w:val="00301427"/>
    <w:rsid w:val="003024ED"/>
    <w:rsid w:val="0030415C"/>
    <w:rsid w:val="003041BC"/>
    <w:rsid w:val="003048F2"/>
    <w:rsid w:val="00305981"/>
    <w:rsid w:val="0031356F"/>
    <w:rsid w:val="00313DD9"/>
    <w:rsid w:val="0031528C"/>
    <w:rsid w:val="0031551B"/>
    <w:rsid w:val="003158DE"/>
    <w:rsid w:val="0031607E"/>
    <w:rsid w:val="00316E35"/>
    <w:rsid w:val="00317943"/>
    <w:rsid w:val="003203E5"/>
    <w:rsid w:val="00321368"/>
    <w:rsid w:val="00321BC3"/>
    <w:rsid w:val="00322E36"/>
    <w:rsid w:val="00323FE6"/>
    <w:rsid w:val="0032413B"/>
    <w:rsid w:val="00324B85"/>
    <w:rsid w:val="00324F94"/>
    <w:rsid w:val="00325E60"/>
    <w:rsid w:val="00327765"/>
    <w:rsid w:val="00327B9D"/>
    <w:rsid w:val="00331D7E"/>
    <w:rsid w:val="00331DBD"/>
    <w:rsid w:val="00331E69"/>
    <w:rsid w:val="003323C6"/>
    <w:rsid w:val="003325AB"/>
    <w:rsid w:val="00333440"/>
    <w:rsid w:val="0033662F"/>
    <w:rsid w:val="00336BE5"/>
    <w:rsid w:val="00336F04"/>
    <w:rsid w:val="0033709E"/>
    <w:rsid w:val="00340112"/>
    <w:rsid w:val="00344B40"/>
    <w:rsid w:val="00346FD1"/>
    <w:rsid w:val="003516A0"/>
    <w:rsid w:val="003553DC"/>
    <w:rsid w:val="00355BC2"/>
    <w:rsid w:val="00356D22"/>
    <w:rsid w:val="00360A20"/>
    <w:rsid w:val="00362EEF"/>
    <w:rsid w:val="00370417"/>
    <w:rsid w:val="003713C9"/>
    <w:rsid w:val="003741DE"/>
    <w:rsid w:val="003743AD"/>
    <w:rsid w:val="0037773C"/>
    <w:rsid w:val="00377D41"/>
    <w:rsid w:val="00381566"/>
    <w:rsid w:val="003865CA"/>
    <w:rsid w:val="003900AC"/>
    <w:rsid w:val="00395F4B"/>
    <w:rsid w:val="003A0D8E"/>
    <w:rsid w:val="003A2AEC"/>
    <w:rsid w:val="003A382D"/>
    <w:rsid w:val="003A3B62"/>
    <w:rsid w:val="003B172A"/>
    <w:rsid w:val="003C0E53"/>
    <w:rsid w:val="003C2640"/>
    <w:rsid w:val="003C42E6"/>
    <w:rsid w:val="003C5588"/>
    <w:rsid w:val="003D1E64"/>
    <w:rsid w:val="003D21B9"/>
    <w:rsid w:val="003D2DC7"/>
    <w:rsid w:val="003D32FA"/>
    <w:rsid w:val="003D4FD2"/>
    <w:rsid w:val="003D6A81"/>
    <w:rsid w:val="003E0D92"/>
    <w:rsid w:val="003E1451"/>
    <w:rsid w:val="003E409C"/>
    <w:rsid w:val="003E4558"/>
    <w:rsid w:val="003F068E"/>
    <w:rsid w:val="003F1023"/>
    <w:rsid w:val="003F17A7"/>
    <w:rsid w:val="003F2134"/>
    <w:rsid w:val="003F35F0"/>
    <w:rsid w:val="003F3DC5"/>
    <w:rsid w:val="003F5259"/>
    <w:rsid w:val="003F5D18"/>
    <w:rsid w:val="004006F6"/>
    <w:rsid w:val="00400D8C"/>
    <w:rsid w:val="00403CE3"/>
    <w:rsid w:val="004047EB"/>
    <w:rsid w:val="00415247"/>
    <w:rsid w:val="004152C3"/>
    <w:rsid w:val="00423252"/>
    <w:rsid w:val="00424172"/>
    <w:rsid w:val="0043070C"/>
    <w:rsid w:val="00430E04"/>
    <w:rsid w:val="004318E2"/>
    <w:rsid w:val="00431C9F"/>
    <w:rsid w:val="00432F9A"/>
    <w:rsid w:val="00433A50"/>
    <w:rsid w:val="004359A4"/>
    <w:rsid w:val="004370E6"/>
    <w:rsid w:val="004429F0"/>
    <w:rsid w:val="00445685"/>
    <w:rsid w:val="00447DDA"/>
    <w:rsid w:val="00453EAF"/>
    <w:rsid w:val="004550D5"/>
    <w:rsid w:val="00456EFF"/>
    <w:rsid w:val="0046686E"/>
    <w:rsid w:val="0046726C"/>
    <w:rsid w:val="004678D1"/>
    <w:rsid w:val="00467D18"/>
    <w:rsid w:val="00472580"/>
    <w:rsid w:val="00473276"/>
    <w:rsid w:val="004757F0"/>
    <w:rsid w:val="00484110"/>
    <w:rsid w:val="0048459C"/>
    <w:rsid w:val="004846CB"/>
    <w:rsid w:val="00485F8A"/>
    <w:rsid w:val="0048635D"/>
    <w:rsid w:val="00487313"/>
    <w:rsid w:val="00491207"/>
    <w:rsid w:val="0049349F"/>
    <w:rsid w:val="004A1E5A"/>
    <w:rsid w:val="004A3488"/>
    <w:rsid w:val="004A356A"/>
    <w:rsid w:val="004A3F04"/>
    <w:rsid w:val="004A563F"/>
    <w:rsid w:val="004A64BD"/>
    <w:rsid w:val="004B0BFE"/>
    <w:rsid w:val="004B206C"/>
    <w:rsid w:val="004B2DB4"/>
    <w:rsid w:val="004B3018"/>
    <w:rsid w:val="004B4066"/>
    <w:rsid w:val="004B4CC9"/>
    <w:rsid w:val="004B5A9A"/>
    <w:rsid w:val="004B5F2B"/>
    <w:rsid w:val="004C08F8"/>
    <w:rsid w:val="004C4892"/>
    <w:rsid w:val="004C53D4"/>
    <w:rsid w:val="004C6228"/>
    <w:rsid w:val="004C6E54"/>
    <w:rsid w:val="004D018C"/>
    <w:rsid w:val="004D0D30"/>
    <w:rsid w:val="004D1EA1"/>
    <w:rsid w:val="004D31F7"/>
    <w:rsid w:val="004D3324"/>
    <w:rsid w:val="004D6E38"/>
    <w:rsid w:val="004E00AA"/>
    <w:rsid w:val="004E5CA9"/>
    <w:rsid w:val="004E752B"/>
    <w:rsid w:val="004F04E0"/>
    <w:rsid w:val="004F1E53"/>
    <w:rsid w:val="004F327C"/>
    <w:rsid w:val="0050015A"/>
    <w:rsid w:val="00500ADA"/>
    <w:rsid w:val="0050137D"/>
    <w:rsid w:val="00503E1E"/>
    <w:rsid w:val="00505CFE"/>
    <w:rsid w:val="005066CF"/>
    <w:rsid w:val="00511782"/>
    <w:rsid w:val="005120D4"/>
    <w:rsid w:val="005120E9"/>
    <w:rsid w:val="0051229B"/>
    <w:rsid w:val="0051267D"/>
    <w:rsid w:val="005156DF"/>
    <w:rsid w:val="00516735"/>
    <w:rsid w:val="0052301B"/>
    <w:rsid w:val="0052431C"/>
    <w:rsid w:val="00524845"/>
    <w:rsid w:val="00524968"/>
    <w:rsid w:val="00526C26"/>
    <w:rsid w:val="0052712C"/>
    <w:rsid w:val="00532BAE"/>
    <w:rsid w:val="005337B0"/>
    <w:rsid w:val="00533BD6"/>
    <w:rsid w:val="00536294"/>
    <w:rsid w:val="00547EBC"/>
    <w:rsid w:val="0055063C"/>
    <w:rsid w:val="00550FF9"/>
    <w:rsid w:val="005552BD"/>
    <w:rsid w:val="005573AC"/>
    <w:rsid w:val="0056021A"/>
    <w:rsid w:val="00562070"/>
    <w:rsid w:val="00563709"/>
    <w:rsid w:val="00563971"/>
    <w:rsid w:val="00563F1E"/>
    <w:rsid w:val="0056457C"/>
    <w:rsid w:val="0056715B"/>
    <w:rsid w:val="005678B0"/>
    <w:rsid w:val="00571C74"/>
    <w:rsid w:val="00571F02"/>
    <w:rsid w:val="005731CE"/>
    <w:rsid w:val="005745AD"/>
    <w:rsid w:val="00577B61"/>
    <w:rsid w:val="00580AA1"/>
    <w:rsid w:val="00582207"/>
    <w:rsid w:val="00582407"/>
    <w:rsid w:val="005824CC"/>
    <w:rsid w:val="005848D1"/>
    <w:rsid w:val="005860FE"/>
    <w:rsid w:val="0058739F"/>
    <w:rsid w:val="00590ABC"/>
    <w:rsid w:val="00591E28"/>
    <w:rsid w:val="0059252A"/>
    <w:rsid w:val="00592DC4"/>
    <w:rsid w:val="005A0363"/>
    <w:rsid w:val="005A20B1"/>
    <w:rsid w:val="005A3BA1"/>
    <w:rsid w:val="005A5514"/>
    <w:rsid w:val="005A6D67"/>
    <w:rsid w:val="005A77E4"/>
    <w:rsid w:val="005A7C8C"/>
    <w:rsid w:val="005B1933"/>
    <w:rsid w:val="005B6F85"/>
    <w:rsid w:val="005C00E8"/>
    <w:rsid w:val="005C0487"/>
    <w:rsid w:val="005C1878"/>
    <w:rsid w:val="005C247E"/>
    <w:rsid w:val="005C3887"/>
    <w:rsid w:val="005C498A"/>
    <w:rsid w:val="005D0420"/>
    <w:rsid w:val="005D24EA"/>
    <w:rsid w:val="005D2BF5"/>
    <w:rsid w:val="005D2D6A"/>
    <w:rsid w:val="005D3784"/>
    <w:rsid w:val="005D487C"/>
    <w:rsid w:val="005D530F"/>
    <w:rsid w:val="005D5CE6"/>
    <w:rsid w:val="005E0141"/>
    <w:rsid w:val="005E2EE5"/>
    <w:rsid w:val="005E4373"/>
    <w:rsid w:val="005E614F"/>
    <w:rsid w:val="005F0730"/>
    <w:rsid w:val="005F1933"/>
    <w:rsid w:val="005F30BF"/>
    <w:rsid w:val="005F3201"/>
    <w:rsid w:val="005F39DC"/>
    <w:rsid w:val="005F4242"/>
    <w:rsid w:val="005F46D5"/>
    <w:rsid w:val="005F5832"/>
    <w:rsid w:val="005F64AE"/>
    <w:rsid w:val="005F6D6A"/>
    <w:rsid w:val="006009E2"/>
    <w:rsid w:val="00603F62"/>
    <w:rsid w:val="00604155"/>
    <w:rsid w:val="00604496"/>
    <w:rsid w:val="00605902"/>
    <w:rsid w:val="00606C5A"/>
    <w:rsid w:val="00607490"/>
    <w:rsid w:val="00607577"/>
    <w:rsid w:val="00610FE4"/>
    <w:rsid w:val="00612F7A"/>
    <w:rsid w:val="00615293"/>
    <w:rsid w:val="00620AE5"/>
    <w:rsid w:val="0062209E"/>
    <w:rsid w:val="00622FAA"/>
    <w:rsid w:val="006259CA"/>
    <w:rsid w:val="0062633F"/>
    <w:rsid w:val="0062698B"/>
    <w:rsid w:val="00626F28"/>
    <w:rsid w:val="006273FA"/>
    <w:rsid w:val="00627969"/>
    <w:rsid w:val="006316EF"/>
    <w:rsid w:val="0063256B"/>
    <w:rsid w:val="006333B6"/>
    <w:rsid w:val="0063634E"/>
    <w:rsid w:val="0064072C"/>
    <w:rsid w:val="0064294E"/>
    <w:rsid w:val="0064302A"/>
    <w:rsid w:val="0064440E"/>
    <w:rsid w:val="0064479E"/>
    <w:rsid w:val="00644A3B"/>
    <w:rsid w:val="00646923"/>
    <w:rsid w:val="006500B6"/>
    <w:rsid w:val="00655AD4"/>
    <w:rsid w:val="006561A5"/>
    <w:rsid w:val="00657DD9"/>
    <w:rsid w:val="00660C03"/>
    <w:rsid w:val="00660D0C"/>
    <w:rsid w:val="00661430"/>
    <w:rsid w:val="00662BBA"/>
    <w:rsid w:val="00663944"/>
    <w:rsid w:val="006665A5"/>
    <w:rsid w:val="006702E3"/>
    <w:rsid w:val="00673817"/>
    <w:rsid w:val="006768AB"/>
    <w:rsid w:val="0067771E"/>
    <w:rsid w:val="00677DAC"/>
    <w:rsid w:val="0068051A"/>
    <w:rsid w:val="00680CB1"/>
    <w:rsid w:val="00684350"/>
    <w:rsid w:val="00690E2D"/>
    <w:rsid w:val="00691763"/>
    <w:rsid w:val="00693499"/>
    <w:rsid w:val="00694678"/>
    <w:rsid w:val="00696DD7"/>
    <w:rsid w:val="006A2B6E"/>
    <w:rsid w:val="006A3EF6"/>
    <w:rsid w:val="006A497B"/>
    <w:rsid w:val="006A4FA7"/>
    <w:rsid w:val="006A6027"/>
    <w:rsid w:val="006B3285"/>
    <w:rsid w:val="006B4000"/>
    <w:rsid w:val="006B5841"/>
    <w:rsid w:val="006C07C7"/>
    <w:rsid w:val="006C090C"/>
    <w:rsid w:val="006C21C6"/>
    <w:rsid w:val="006C25EF"/>
    <w:rsid w:val="006C78B1"/>
    <w:rsid w:val="006C7ADA"/>
    <w:rsid w:val="006D0528"/>
    <w:rsid w:val="006D19A6"/>
    <w:rsid w:val="006D314F"/>
    <w:rsid w:val="006D554D"/>
    <w:rsid w:val="006E038D"/>
    <w:rsid w:val="006E099D"/>
    <w:rsid w:val="006E3598"/>
    <w:rsid w:val="006E610A"/>
    <w:rsid w:val="007019E1"/>
    <w:rsid w:val="00703705"/>
    <w:rsid w:val="00704F7C"/>
    <w:rsid w:val="00707D75"/>
    <w:rsid w:val="00712C36"/>
    <w:rsid w:val="00712E2E"/>
    <w:rsid w:val="00713647"/>
    <w:rsid w:val="00713919"/>
    <w:rsid w:val="007147CE"/>
    <w:rsid w:val="00714B11"/>
    <w:rsid w:val="00715A2C"/>
    <w:rsid w:val="00716240"/>
    <w:rsid w:val="00721DF5"/>
    <w:rsid w:val="00723937"/>
    <w:rsid w:val="00724909"/>
    <w:rsid w:val="0073185A"/>
    <w:rsid w:val="007321FD"/>
    <w:rsid w:val="00734E72"/>
    <w:rsid w:val="00734FA9"/>
    <w:rsid w:val="0073719F"/>
    <w:rsid w:val="007419A5"/>
    <w:rsid w:val="007425AA"/>
    <w:rsid w:val="00742D0F"/>
    <w:rsid w:val="00743E34"/>
    <w:rsid w:val="007465A9"/>
    <w:rsid w:val="00751025"/>
    <w:rsid w:val="00755637"/>
    <w:rsid w:val="00755937"/>
    <w:rsid w:val="00755BA0"/>
    <w:rsid w:val="00755C6B"/>
    <w:rsid w:val="00756711"/>
    <w:rsid w:val="00760D77"/>
    <w:rsid w:val="007619F6"/>
    <w:rsid w:val="00761D35"/>
    <w:rsid w:val="00767116"/>
    <w:rsid w:val="00767598"/>
    <w:rsid w:val="0076791C"/>
    <w:rsid w:val="00772637"/>
    <w:rsid w:val="007760E6"/>
    <w:rsid w:val="0077659D"/>
    <w:rsid w:val="007802A2"/>
    <w:rsid w:val="0078071A"/>
    <w:rsid w:val="007817A1"/>
    <w:rsid w:val="00782AB2"/>
    <w:rsid w:val="00782AB6"/>
    <w:rsid w:val="00785C96"/>
    <w:rsid w:val="00786156"/>
    <w:rsid w:val="00790ED6"/>
    <w:rsid w:val="007929AE"/>
    <w:rsid w:val="00793640"/>
    <w:rsid w:val="007939B7"/>
    <w:rsid w:val="00793EAC"/>
    <w:rsid w:val="00795EB6"/>
    <w:rsid w:val="0079674D"/>
    <w:rsid w:val="00797055"/>
    <w:rsid w:val="00797D59"/>
    <w:rsid w:val="007A0A07"/>
    <w:rsid w:val="007A6E9C"/>
    <w:rsid w:val="007B11B9"/>
    <w:rsid w:val="007B3D83"/>
    <w:rsid w:val="007B64A6"/>
    <w:rsid w:val="007B7366"/>
    <w:rsid w:val="007B78C4"/>
    <w:rsid w:val="007C0ADD"/>
    <w:rsid w:val="007C18C6"/>
    <w:rsid w:val="007C5DB6"/>
    <w:rsid w:val="007C6049"/>
    <w:rsid w:val="007C630E"/>
    <w:rsid w:val="007C66C5"/>
    <w:rsid w:val="007D5027"/>
    <w:rsid w:val="007D6EBA"/>
    <w:rsid w:val="007E0D2C"/>
    <w:rsid w:val="007E2C0E"/>
    <w:rsid w:val="007E44BA"/>
    <w:rsid w:val="007E4840"/>
    <w:rsid w:val="007E4F73"/>
    <w:rsid w:val="007E4FC3"/>
    <w:rsid w:val="007E500E"/>
    <w:rsid w:val="007E5080"/>
    <w:rsid w:val="007E50F4"/>
    <w:rsid w:val="007E57BF"/>
    <w:rsid w:val="007E6530"/>
    <w:rsid w:val="007E6EBB"/>
    <w:rsid w:val="007F37A9"/>
    <w:rsid w:val="007F5606"/>
    <w:rsid w:val="00801118"/>
    <w:rsid w:val="0080480F"/>
    <w:rsid w:val="008078C3"/>
    <w:rsid w:val="00807B3B"/>
    <w:rsid w:val="0081003F"/>
    <w:rsid w:val="00814B4A"/>
    <w:rsid w:val="00815462"/>
    <w:rsid w:val="00815911"/>
    <w:rsid w:val="00816C42"/>
    <w:rsid w:val="008216F2"/>
    <w:rsid w:val="008267B5"/>
    <w:rsid w:val="00826A14"/>
    <w:rsid w:val="008307EE"/>
    <w:rsid w:val="00832F65"/>
    <w:rsid w:val="00833436"/>
    <w:rsid w:val="00833570"/>
    <w:rsid w:val="00833917"/>
    <w:rsid w:val="008352F2"/>
    <w:rsid w:val="00835CEE"/>
    <w:rsid w:val="00836FDD"/>
    <w:rsid w:val="00843EBC"/>
    <w:rsid w:val="0084526F"/>
    <w:rsid w:val="008463B7"/>
    <w:rsid w:val="00851C04"/>
    <w:rsid w:val="00852B6D"/>
    <w:rsid w:val="008562A9"/>
    <w:rsid w:val="00867164"/>
    <w:rsid w:val="00867D86"/>
    <w:rsid w:val="00876A71"/>
    <w:rsid w:val="0088106F"/>
    <w:rsid w:val="00882303"/>
    <w:rsid w:val="00882B39"/>
    <w:rsid w:val="00882E7E"/>
    <w:rsid w:val="008844B1"/>
    <w:rsid w:val="00884D8A"/>
    <w:rsid w:val="00885B78"/>
    <w:rsid w:val="00890272"/>
    <w:rsid w:val="008918E7"/>
    <w:rsid w:val="00891B8C"/>
    <w:rsid w:val="00891BF5"/>
    <w:rsid w:val="00894993"/>
    <w:rsid w:val="008949B3"/>
    <w:rsid w:val="00895539"/>
    <w:rsid w:val="008973F7"/>
    <w:rsid w:val="008A2529"/>
    <w:rsid w:val="008A380A"/>
    <w:rsid w:val="008A4BF8"/>
    <w:rsid w:val="008A5817"/>
    <w:rsid w:val="008B0734"/>
    <w:rsid w:val="008B279A"/>
    <w:rsid w:val="008B2D21"/>
    <w:rsid w:val="008B3A1C"/>
    <w:rsid w:val="008B6677"/>
    <w:rsid w:val="008C11A4"/>
    <w:rsid w:val="008C2F5E"/>
    <w:rsid w:val="008C32AE"/>
    <w:rsid w:val="008C45E6"/>
    <w:rsid w:val="008C4732"/>
    <w:rsid w:val="008C577C"/>
    <w:rsid w:val="008C59CA"/>
    <w:rsid w:val="008C6CBB"/>
    <w:rsid w:val="008D0DFE"/>
    <w:rsid w:val="008D149B"/>
    <w:rsid w:val="008D1586"/>
    <w:rsid w:val="008D3572"/>
    <w:rsid w:val="008D481C"/>
    <w:rsid w:val="008D5304"/>
    <w:rsid w:val="008D5B2C"/>
    <w:rsid w:val="008E1626"/>
    <w:rsid w:val="008E45AF"/>
    <w:rsid w:val="008E4B18"/>
    <w:rsid w:val="008E5760"/>
    <w:rsid w:val="008F10E3"/>
    <w:rsid w:val="008F2BD8"/>
    <w:rsid w:val="008F5865"/>
    <w:rsid w:val="008F6F31"/>
    <w:rsid w:val="008F7768"/>
    <w:rsid w:val="009010A7"/>
    <w:rsid w:val="009027AB"/>
    <w:rsid w:val="009029C8"/>
    <w:rsid w:val="00902EF7"/>
    <w:rsid w:val="00906DC9"/>
    <w:rsid w:val="00907996"/>
    <w:rsid w:val="00907A42"/>
    <w:rsid w:val="00911F27"/>
    <w:rsid w:val="00912BF9"/>
    <w:rsid w:val="00916535"/>
    <w:rsid w:val="0092266B"/>
    <w:rsid w:val="009229D8"/>
    <w:rsid w:val="00927217"/>
    <w:rsid w:val="00931C09"/>
    <w:rsid w:val="009347D5"/>
    <w:rsid w:val="00934944"/>
    <w:rsid w:val="00935995"/>
    <w:rsid w:val="00936429"/>
    <w:rsid w:val="00940571"/>
    <w:rsid w:val="00943AE1"/>
    <w:rsid w:val="009443D1"/>
    <w:rsid w:val="00944835"/>
    <w:rsid w:val="009456A2"/>
    <w:rsid w:val="0095439C"/>
    <w:rsid w:val="00956926"/>
    <w:rsid w:val="00961513"/>
    <w:rsid w:val="00961E08"/>
    <w:rsid w:val="009643E9"/>
    <w:rsid w:val="00965B12"/>
    <w:rsid w:val="009672D9"/>
    <w:rsid w:val="009674C2"/>
    <w:rsid w:val="00970383"/>
    <w:rsid w:val="0097117E"/>
    <w:rsid w:val="00971F43"/>
    <w:rsid w:val="0097511A"/>
    <w:rsid w:val="009754FD"/>
    <w:rsid w:val="00975CC3"/>
    <w:rsid w:val="00976041"/>
    <w:rsid w:val="009762AE"/>
    <w:rsid w:val="0097634A"/>
    <w:rsid w:val="00976798"/>
    <w:rsid w:val="0098187E"/>
    <w:rsid w:val="00994809"/>
    <w:rsid w:val="00995D28"/>
    <w:rsid w:val="00996A7B"/>
    <w:rsid w:val="00997472"/>
    <w:rsid w:val="009A2FB5"/>
    <w:rsid w:val="009A468A"/>
    <w:rsid w:val="009A4A5F"/>
    <w:rsid w:val="009A5544"/>
    <w:rsid w:val="009A58DE"/>
    <w:rsid w:val="009B36C0"/>
    <w:rsid w:val="009B3E8F"/>
    <w:rsid w:val="009B5A27"/>
    <w:rsid w:val="009B64C5"/>
    <w:rsid w:val="009B66DF"/>
    <w:rsid w:val="009B7BFB"/>
    <w:rsid w:val="009C0291"/>
    <w:rsid w:val="009C0D15"/>
    <w:rsid w:val="009C0FBA"/>
    <w:rsid w:val="009C4E24"/>
    <w:rsid w:val="009C66F1"/>
    <w:rsid w:val="009C7226"/>
    <w:rsid w:val="009D00F4"/>
    <w:rsid w:val="009D03D8"/>
    <w:rsid w:val="009D3571"/>
    <w:rsid w:val="009D6015"/>
    <w:rsid w:val="009E0E26"/>
    <w:rsid w:val="009E4180"/>
    <w:rsid w:val="009E4B3E"/>
    <w:rsid w:val="009E5365"/>
    <w:rsid w:val="009F0953"/>
    <w:rsid w:val="00A0071A"/>
    <w:rsid w:val="00A01936"/>
    <w:rsid w:val="00A02B2F"/>
    <w:rsid w:val="00A05BC2"/>
    <w:rsid w:val="00A05C45"/>
    <w:rsid w:val="00A17286"/>
    <w:rsid w:val="00A207D2"/>
    <w:rsid w:val="00A229DC"/>
    <w:rsid w:val="00A23521"/>
    <w:rsid w:val="00A23B9E"/>
    <w:rsid w:val="00A23F3E"/>
    <w:rsid w:val="00A2450E"/>
    <w:rsid w:val="00A24D04"/>
    <w:rsid w:val="00A24F91"/>
    <w:rsid w:val="00A27501"/>
    <w:rsid w:val="00A27552"/>
    <w:rsid w:val="00A301F2"/>
    <w:rsid w:val="00A33FA4"/>
    <w:rsid w:val="00A3586B"/>
    <w:rsid w:val="00A406D5"/>
    <w:rsid w:val="00A41DF7"/>
    <w:rsid w:val="00A422C3"/>
    <w:rsid w:val="00A44EE4"/>
    <w:rsid w:val="00A47029"/>
    <w:rsid w:val="00A473BE"/>
    <w:rsid w:val="00A51748"/>
    <w:rsid w:val="00A53D0A"/>
    <w:rsid w:val="00A57276"/>
    <w:rsid w:val="00A57E4A"/>
    <w:rsid w:val="00A60D8B"/>
    <w:rsid w:val="00A629C7"/>
    <w:rsid w:val="00A6426B"/>
    <w:rsid w:val="00A648FB"/>
    <w:rsid w:val="00A657D6"/>
    <w:rsid w:val="00A705AF"/>
    <w:rsid w:val="00A734D1"/>
    <w:rsid w:val="00A76501"/>
    <w:rsid w:val="00A77AFD"/>
    <w:rsid w:val="00A81CC7"/>
    <w:rsid w:val="00A845DA"/>
    <w:rsid w:val="00A864C9"/>
    <w:rsid w:val="00A86C1D"/>
    <w:rsid w:val="00A872FB"/>
    <w:rsid w:val="00A87CB9"/>
    <w:rsid w:val="00A906CD"/>
    <w:rsid w:val="00A95157"/>
    <w:rsid w:val="00A952F5"/>
    <w:rsid w:val="00A96399"/>
    <w:rsid w:val="00A9668B"/>
    <w:rsid w:val="00A97F5E"/>
    <w:rsid w:val="00AA1640"/>
    <w:rsid w:val="00AA51F4"/>
    <w:rsid w:val="00AA6CCE"/>
    <w:rsid w:val="00AB4B76"/>
    <w:rsid w:val="00AB5967"/>
    <w:rsid w:val="00AB5B6F"/>
    <w:rsid w:val="00AD2522"/>
    <w:rsid w:val="00AD4C84"/>
    <w:rsid w:val="00AD6744"/>
    <w:rsid w:val="00AE01A0"/>
    <w:rsid w:val="00AE1205"/>
    <w:rsid w:val="00AE2ED9"/>
    <w:rsid w:val="00AE3F66"/>
    <w:rsid w:val="00AE4098"/>
    <w:rsid w:val="00AE4918"/>
    <w:rsid w:val="00AE6E8D"/>
    <w:rsid w:val="00AE7BF6"/>
    <w:rsid w:val="00AF1DCB"/>
    <w:rsid w:val="00AF34D6"/>
    <w:rsid w:val="00AF4417"/>
    <w:rsid w:val="00AF7B3F"/>
    <w:rsid w:val="00B01517"/>
    <w:rsid w:val="00B02168"/>
    <w:rsid w:val="00B0363B"/>
    <w:rsid w:val="00B0724F"/>
    <w:rsid w:val="00B1210E"/>
    <w:rsid w:val="00B12BC0"/>
    <w:rsid w:val="00B144B0"/>
    <w:rsid w:val="00B17252"/>
    <w:rsid w:val="00B21980"/>
    <w:rsid w:val="00B21DE6"/>
    <w:rsid w:val="00B22D33"/>
    <w:rsid w:val="00B25D98"/>
    <w:rsid w:val="00B304BB"/>
    <w:rsid w:val="00B3176F"/>
    <w:rsid w:val="00B31F4F"/>
    <w:rsid w:val="00B32389"/>
    <w:rsid w:val="00B35411"/>
    <w:rsid w:val="00B4163F"/>
    <w:rsid w:val="00B419F4"/>
    <w:rsid w:val="00B4206A"/>
    <w:rsid w:val="00B43565"/>
    <w:rsid w:val="00B43679"/>
    <w:rsid w:val="00B4477A"/>
    <w:rsid w:val="00B44E12"/>
    <w:rsid w:val="00B452F4"/>
    <w:rsid w:val="00B45D1C"/>
    <w:rsid w:val="00B46E15"/>
    <w:rsid w:val="00B47588"/>
    <w:rsid w:val="00B47BCE"/>
    <w:rsid w:val="00B51418"/>
    <w:rsid w:val="00B52D25"/>
    <w:rsid w:val="00B541A3"/>
    <w:rsid w:val="00B56BE9"/>
    <w:rsid w:val="00B60A40"/>
    <w:rsid w:val="00B62C88"/>
    <w:rsid w:val="00B6691D"/>
    <w:rsid w:val="00B7360F"/>
    <w:rsid w:val="00B77D34"/>
    <w:rsid w:val="00B8167D"/>
    <w:rsid w:val="00B81D44"/>
    <w:rsid w:val="00B82944"/>
    <w:rsid w:val="00B82D4E"/>
    <w:rsid w:val="00B84A70"/>
    <w:rsid w:val="00B84F44"/>
    <w:rsid w:val="00B920AF"/>
    <w:rsid w:val="00B92A27"/>
    <w:rsid w:val="00B939E9"/>
    <w:rsid w:val="00B94ADD"/>
    <w:rsid w:val="00B97D10"/>
    <w:rsid w:val="00BA21B8"/>
    <w:rsid w:val="00BA2677"/>
    <w:rsid w:val="00BA5D8F"/>
    <w:rsid w:val="00BA72D2"/>
    <w:rsid w:val="00BA77C6"/>
    <w:rsid w:val="00BB38CA"/>
    <w:rsid w:val="00BB3BC6"/>
    <w:rsid w:val="00BB43F0"/>
    <w:rsid w:val="00BB48BF"/>
    <w:rsid w:val="00BB7972"/>
    <w:rsid w:val="00BC0E5B"/>
    <w:rsid w:val="00BC4757"/>
    <w:rsid w:val="00BC4948"/>
    <w:rsid w:val="00BC4C87"/>
    <w:rsid w:val="00BC69D0"/>
    <w:rsid w:val="00BD01F5"/>
    <w:rsid w:val="00BD158B"/>
    <w:rsid w:val="00BD35EA"/>
    <w:rsid w:val="00BD539E"/>
    <w:rsid w:val="00BD5898"/>
    <w:rsid w:val="00BD70B2"/>
    <w:rsid w:val="00BE3001"/>
    <w:rsid w:val="00BE3FF5"/>
    <w:rsid w:val="00BE726C"/>
    <w:rsid w:val="00BE79BC"/>
    <w:rsid w:val="00BF030E"/>
    <w:rsid w:val="00BF06CC"/>
    <w:rsid w:val="00BF1903"/>
    <w:rsid w:val="00BF23F6"/>
    <w:rsid w:val="00BF6D19"/>
    <w:rsid w:val="00BF6D42"/>
    <w:rsid w:val="00C007F5"/>
    <w:rsid w:val="00C02030"/>
    <w:rsid w:val="00C02E23"/>
    <w:rsid w:val="00C054DB"/>
    <w:rsid w:val="00C056A4"/>
    <w:rsid w:val="00C103EC"/>
    <w:rsid w:val="00C11DDB"/>
    <w:rsid w:val="00C13255"/>
    <w:rsid w:val="00C13BE8"/>
    <w:rsid w:val="00C168FB"/>
    <w:rsid w:val="00C16DE0"/>
    <w:rsid w:val="00C16FB9"/>
    <w:rsid w:val="00C17C4D"/>
    <w:rsid w:val="00C22708"/>
    <w:rsid w:val="00C22FCE"/>
    <w:rsid w:val="00C23B73"/>
    <w:rsid w:val="00C26F82"/>
    <w:rsid w:val="00C27D84"/>
    <w:rsid w:val="00C27EF7"/>
    <w:rsid w:val="00C3036D"/>
    <w:rsid w:val="00C339F0"/>
    <w:rsid w:val="00C34FFB"/>
    <w:rsid w:val="00C427E0"/>
    <w:rsid w:val="00C43C18"/>
    <w:rsid w:val="00C446B6"/>
    <w:rsid w:val="00C44F5A"/>
    <w:rsid w:val="00C454C8"/>
    <w:rsid w:val="00C478EA"/>
    <w:rsid w:val="00C50F87"/>
    <w:rsid w:val="00C51B46"/>
    <w:rsid w:val="00C5285E"/>
    <w:rsid w:val="00C5447E"/>
    <w:rsid w:val="00C54CA1"/>
    <w:rsid w:val="00C60782"/>
    <w:rsid w:val="00C61931"/>
    <w:rsid w:val="00C62C69"/>
    <w:rsid w:val="00C631E2"/>
    <w:rsid w:val="00C6388F"/>
    <w:rsid w:val="00C65092"/>
    <w:rsid w:val="00C72756"/>
    <w:rsid w:val="00C7311A"/>
    <w:rsid w:val="00C748A0"/>
    <w:rsid w:val="00C75EBB"/>
    <w:rsid w:val="00C76812"/>
    <w:rsid w:val="00C77A41"/>
    <w:rsid w:val="00C81759"/>
    <w:rsid w:val="00C841AB"/>
    <w:rsid w:val="00C84B3F"/>
    <w:rsid w:val="00C86085"/>
    <w:rsid w:val="00C86EF5"/>
    <w:rsid w:val="00C96F07"/>
    <w:rsid w:val="00C97EE3"/>
    <w:rsid w:val="00CA2272"/>
    <w:rsid w:val="00CA367C"/>
    <w:rsid w:val="00CA5D49"/>
    <w:rsid w:val="00CB01BE"/>
    <w:rsid w:val="00CB6436"/>
    <w:rsid w:val="00CB71BB"/>
    <w:rsid w:val="00CC21C2"/>
    <w:rsid w:val="00CC28C6"/>
    <w:rsid w:val="00CC441D"/>
    <w:rsid w:val="00CC4570"/>
    <w:rsid w:val="00CC4AEB"/>
    <w:rsid w:val="00CC6548"/>
    <w:rsid w:val="00CD10F1"/>
    <w:rsid w:val="00CD3179"/>
    <w:rsid w:val="00CD4911"/>
    <w:rsid w:val="00CD5F5A"/>
    <w:rsid w:val="00CD699B"/>
    <w:rsid w:val="00CE0FFC"/>
    <w:rsid w:val="00CE3525"/>
    <w:rsid w:val="00CE3972"/>
    <w:rsid w:val="00CF43E7"/>
    <w:rsid w:val="00CF4470"/>
    <w:rsid w:val="00CF4870"/>
    <w:rsid w:val="00D00124"/>
    <w:rsid w:val="00D0112F"/>
    <w:rsid w:val="00D014A6"/>
    <w:rsid w:val="00D0396F"/>
    <w:rsid w:val="00D04ECC"/>
    <w:rsid w:val="00D07BD0"/>
    <w:rsid w:val="00D07DFD"/>
    <w:rsid w:val="00D121CF"/>
    <w:rsid w:val="00D152FC"/>
    <w:rsid w:val="00D17307"/>
    <w:rsid w:val="00D200B2"/>
    <w:rsid w:val="00D202BA"/>
    <w:rsid w:val="00D21C03"/>
    <w:rsid w:val="00D22796"/>
    <w:rsid w:val="00D22BD7"/>
    <w:rsid w:val="00D30579"/>
    <w:rsid w:val="00D3084C"/>
    <w:rsid w:val="00D31299"/>
    <w:rsid w:val="00D3350E"/>
    <w:rsid w:val="00D33D56"/>
    <w:rsid w:val="00D35390"/>
    <w:rsid w:val="00D360CC"/>
    <w:rsid w:val="00D37F1B"/>
    <w:rsid w:val="00D43023"/>
    <w:rsid w:val="00D4723F"/>
    <w:rsid w:val="00D52337"/>
    <w:rsid w:val="00D52E31"/>
    <w:rsid w:val="00D530A6"/>
    <w:rsid w:val="00D53469"/>
    <w:rsid w:val="00D54682"/>
    <w:rsid w:val="00D56167"/>
    <w:rsid w:val="00D6208B"/>
    <w:rsid w:val="00D66B17"/>
    <w:rsid w:val="00D66DBC"/>
    <w:rsid w:val="00D7510C"/>
    <w:rsid w:val="00D76C94"/>
    <w:rsid w:val="00D773DD"/>
    <w:rsid w:val="00D81DD8"/>
    <w:rsid w:val="00D8467D"/>
    <w:rsid w:val="00D8717C"/>
    <w:rsid w:val="00D87C6B"/>
    <w:rsid w:val="00D92C3B"/>
    <w:rsid w:val="00D93A20"/>
    <w:rsid w:val="00D93FFA"/>
    <w:rsid w:val="00D9423D"/>
    <w:rsid w:val="00D95024"/>
    <w:rsid w:val="00D976F9"/>
    <w:rsid w:val="00DA155B"/>
    <w:rsid w:val="00DA4405"/>
    <w:rsid w:val="00DB118C"/>
    <w:rsid w:val="00DB1AB1"/>
    <w:rsid w:val="00DB3ABC"/>
    <w:rsid w:val="00DB53A0"/>
    <w:rsid w:val="00DB580D"/>
    <w:rsid w:val="00DC0643"/>
    <w:rsid w:val="00DC1EFA"/>
    <w:rsid w:val="00DC2E6D"/>
    <w:rsid w:val="00DC55C9"/>
    <w:rsid w:val="00DC5BB7"/>
    <w:rsid w:val="00DC5DC3"/>
    <w:rsid w:val="00DC61AA"/>
    <w:rsid w:val="00DD0B49"/>
    <w:rsid w:val="00DD1287"/>
    <w:rsid w:val="00DD2514"/>
    <w:rsid w:val="00DD2985"/>
    <w:rsid w:val="00DE20DC"/>
    <w:rsid w:val="00DE2B94"/>
    <w:rsid w:val="00DE31EB"/>
    <w:rsid w:val="00DE695F"/>
    <w:rsid w:val="00DE6BB0"/>
    <w:rsid w:val="00DF0D80"/>
    <w:rsid w:val="00DF1470"/>
    <w:rsid w:val="00DF2DE1"/>
    <w:rsid w:val="00DF300B"/>
    <w:rsid w:val="00DF57A4"/>
    <w:rsid w:val="00DF7393"/>
    <w:rsid w:val="00E001FD"/>
    <w:rsid w:val="00E02BF7"/>
    <w:rsid w:val="00E039E1"/>
    <w:rsid w:val="00E04CB3"/>
    <w:rsid w:val="00E1154C"/>
    <w:rsid w:val="00E124D2"/>
    <w:rsid w:val="00E128CA"/>
    <w:rsid w:val="00E12BEE"/>
    <w:rsid w:val="00E145B0"/>
    <w:rsid w:val="00E1460A"/>
    <w:rsid w:val="00E15E94"/>
    <w:rsid w:val="00E23E4A"/>
    <w:rsid w:val="00E2426F"/>
    <w:rsid w:val="00E24305"/>
    <w:rsid w:val="00E2434D"/>
    <w:rsid w:val="00E27742"/>
    <w:rsid w:val="00E30D86"/>
    <w:rsid w:val="00E3169F"/>
    <w:rsid w:val="00E34344"/>
    <w:rsid w:val="00E36757"/>
    <w:rsid w:val="00E41C6B"/>
    <w:rsid w:val="00E427A4"/>
    <w:rsid w:val="00E431C1"/>
    <w:rsid w:val="00E436C2"/>
    <w:rsid w:val="00E4389A"/>
    <w:rsid w:val="00E46643"/>
    <w:rsid w:val="00E52092"/>
    <w:rsid w:val="00E56309"/>
    <w:rsid w:val="00E57C2F"/>
    <w:rsid w:val="00E60CE1"/>
    <w:rsid w:val="00E648C1"/>
    <w:rsid w:val="00E67484"/>
    <w:rsid w:val="00E674D4"/>
    <w:rsid w:val="00E6777D"/>
    <w:rsid w:val="00E67D60"/>
    <w:rsid w:val="00E73B33"/>
    <w:rsid w:val="00E75A10"/>
    <w:rsid w:val="00E80F5C"/>
    <w:rsid w:val="00E81928"/>
    <w:rsid w:val="00E81AFF"/>
    <w:rsid w:val="00E8673A"/>
    <w:rsid w:val="00E86AB6"/>
    <w:rsid w:val="00E87ADE"/>
    <w:rsid w:val="00E92B12"/>
    <w:rsid w:val="00E94A41"/>
    <w:rsid w:val="00E97ED9"/>
    <w:rsid w:val="00EA1BE5"/>
    <w:rsid w:val="00EA32FF"/>
    <w:rsid w:val="00EA5DCE"/>
    <w:rsid w:val="00EA6348"/>
    <w:rsid w:val="00EB2260"/>
    <w:rsid w:val="00EB2C08"/>
    <w:rsid w:val="00EB2DB4"/>
    <w:rsid w:val="00EB4C31"/>
    <w:rsid w:val="00EB5EC2"/>
    <w:rsid w:val="00EC0B6C"/>
    <w:rsid w:val="00EC28EB"/>
    <w:rsid w:val="00EC3600"/>
    <w:rsid w:val="00EC37E9"/>
    <w:rsid w:val="00EC4635"/>
    <w:rsid w:val="00EC4C57"/>
    <w:rsid w:val="00EC5922"/>
    <w:rsid w:val="00ED22DD"/>
    <w:rsid w:val="00ED604C"/>
    <w:rsid w:val="00ED65A8"/>
    <w:rsid w:val="00ED7D40"/>
    <w:rsid w:val="00EE15FA"/>
    <w:rsid w:val="00EE3B0A"/>
    <w:rsid w:val="00EE4825"/>
    <w:rsid w:val="00EE5365"/>
    <w:rsid w:val="00EE7DDB"/>
    <w:rsid w:val="00EF23FB"/>
    <w:rsid w:val="00EF4980"/>
    <w:rsid w:val="00EF4CC0"/>
    <w:rsid w:val="00EF72F7"/>
    <w:rsid w:val="00F00978"/>
    <w:rsid w:val="00F0200B"/>
    <w:rsid w:val="00F02351"/>
    <w:rsid w:val="00F03D72"/>
    <w:rsid w:val="00F053F3"/>
    <w:rsid w:val="00F07205"/>
    <w:rsid w:val="00F14723"/>
    <w:rsid w:val="00F17B65"/>
    <w:rsid w:val="00F20189"/>
    <w:rsid w:val="00F20359"/>
    <w:rsid w:val="00F207E3"/>
    <w:rsid w:val="00F223A1"/>
    <w:rsid w:val="00F2306E"/>
    <w:rsid w:val="00F246C8"/>
    <w:rsid w:val="00F278AE"/>
    <w:rsid w:val="00F30F74"/>
    <w:rsid w:val="00F31781"/>
    <w:rsid w:val="00F3257C"/>
    <w:rsid w:val="00F346F7"/>
    <w:rsid w:val="00F35C74"/>
    <w:rsid w:val="00F400F7"/>
    <w:rsid w:val="00F41D45"/>
    <w:rsid w:val="00F43221"/>
    <w:rsid w:val="00F43C59"/>
    <w:rsid w:val="00F44A6B"/>
    <w:rsid w:val="00F5291A"/>
    <w:rsid w:val="00F562C3"/>
    <w:rsid w:val="00F6092E"/>
    <w:rsid w:val="00F63B48"/>
    <w:rsid w:val="00F64900"/>
    <w:rsid w:val="00F66380"/>
    <w:rsid w:val="00F70524"/>
    <w:rsid w:val="00F730CC"/>
    <w:rsid w:val="00F73DA5"/>
    <w:rsid w:val="00F76ECB"/>
    <w:rsid w:val="00F8038B"/>
    <w:rsid w:val="00F8285E"/>
    <w:rsid w:val="00F8588E"/>
    <w:rsid w:val="00F9018D"/>
    <w:rsid w:val="00F92A39"/>
    <w:rsid w:val="00F95721"/>
    <w:rsid w:val="00F96615"/>
    <w:rsid w:val="00F96E4F"/>
    <w:rsid w:val="00FA01D1"/>
    <w:rsid w:val="00FA051B"/>
    <w:rsid w:val="00FA2CEA"/>
    <w:rsid w:val="00FA6963"/>
    <w:rsid w:val="00FA6BCA"/>
    <w:rsid w:val="00FA71F5"/>
    <w:rsid w:val="00FB18DD"/>
    <w:rsid w:val="00FB230B"/>
    <w:rsid w:val="00FB3C1D"/>
    <w:rsid w:val="00FB4DD0"/>
    <w:rsid w:val="00FB593B"/>
    <w:rsid w:val="00FC19C6"/>
    <w:rsid w:val="00FC2301"/>
    <w:rsid w:val="00FC26CD"/>
    <w:rsid w:val="00FC3BD0"/>
    <w:rsid w:val="00FC51B2"/>
    <w:rsid w:val="00FC6C9E"/>
    <w:rsid w:val="00FD4A7A"/>
    <w:rsid w:val="00FE1E0D"/>
    <w:rsid w:val="00FE5A94"/>
    <w:rsid w:val="00FE62E9"/>
    <w:rsid w:val="00FE68BF"/>
    <w:rsid w:val="00FE7D80"/>
    <w:rsid w:val="00FF07E0"/>
    <w:rsid w:val="00FF1C86"/>
    <w:rsid w:val="00FF26A3"/>
    <w:rsid w:val="00FF4021"/>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7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8E"/>
    <w:rPr>
      <w:rFonts w:ascii="Arial" w:hAnsi="Arial"/>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1042B8"/>
    <w:rPr>
      <w:rFonts w:ascii="Gill Sans MT" w:hAnsi="Gill Sans MT"/>
      <w:sz w:val="24"/>
    </w:rPr>
  </w:style>
  <w:style w:type="table" w:customStyle="1" w:styleId="TableGrid1">
    <w:name w:val="Table Grid1"/>
    <w:basedOn w:val="TableNormal"/>
    <w:next w:val="TableGrid"/>
    <w:uiPriority w:val="59"/>
    <w:rsid w:val="0031607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26C26"/>
    <w:pPr>
      <w:numPr>
        <w:numId w:val="14"/>
      </w:numPr>
    </w:pPr>
  </w:style>
  <w:style w:type="paragraph" w:customStyle="1" w:styleId="Bulletpoints">
    <w:name w:val="Bullet points"/>
    <w:basedOn w:val="Normal"/>
    <w:link w:val="BulletpointsChar"/>
    <w:qFormat/>
    <w:rsid w:val="00526C26"/>
    <w:pPr>
      <w:numPr>
        <w:numId w:val="16"/>
      </w:numPr>
      <w:tabs>
        <w:tab w:val="left" w:pos="993"/>
      </w:tabs>
      <w:spacing w:after="120"/>
      <w:ind w:left="993" w:hanging="425"/>
    </w:pPr>
    <w:rPr>
      <w:color w:val="000000"/>
      <w:szCs w:val="24"/>
    </w:rPr>
  </w:style>
  <w:style w:type="character" w:customStyle="1" w:styleId="BulletpointsChar">
    <w:name w:val="Bullet points Char"/>
    <w:link w:val="Bulletpoints"/>
    <w:rsid w:val="00526C26"/>
    <w:rPr>
      <w:rFonts w:ascii="Arial" w:hAnsi="Arial"/>
      <w:color w:val="000000"/>
      <w:sz w:val="24"/>
      <w:szCs w:val="24"/>
    </w:rPr>
  </w:style>
  <w:style w:type="character" w:customStyle="1" w:styleId="Firstpagetablebold">
    <w:name w:val="First page table: bold"/>
    <w:qFormat/>
    <w:rsid w:val="00526C26"/>
    <w:rPr>
      <w:rFonts w:ascii="Arial" w:hAnsi="Arial"/>
      <w:b/>
      <w:sz w:val="24"/>
    </w:rPr>
  </w:style>
  <w:style w:type="paragraph" w:customStyle="1" w:styleId="bParagraphtext">
    <w:name w:val="bParagraph text"/>
    <w:basedOn w:val="ListParagraph"/>
    <w:link w:val="bParagraphtextChar"/>
    <w:qFormat/>
    <w:rsid w:val="00526C26"/>
    <w:pPr>
      <w:tabs>
        <w:tab w:val="left" w:pos="426"/>
      </w:tabs>
      <w:spacing w:after="120"/>
      <w:ind w:left="426" w:hanging="426"/>
    </w:pPr>
    <w:rPr>
      <w:color w:val="000000"/>
      <w:szCs w:val="24"/>
    </w:rPr>
  </w:style>
  <w:style w:type="character" w:customStyle="1" w:styleId="bParagraphtextChar">
    <w:name w:val="bParagraph text Char"/>
    <w:link w:val="bParagraphtext"/>
    <w:rsid w:val="00526C26"/>
    <w:rPr>
      <w:rFonts w:ascii="Arial" w:hAnsi="Arial"/>
      <w:color w:val="000000"/>
      <w:sz w:val="24"/>
      <w:szCs w:val="24"/>
    </w:rPr>
  </w:style>
  <w:style w:type="character" w:customStyle="1" w:styleId="HeaderChar">
    <w:name w:val="Header Char"/>
    <w:link w:val="Header"/>
    <w:uiPriority w:val="99"/>
    <w:rsid w:val="0062633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88E"/>
    <w:rPr>
      <w:rFonts w:ascii="Arial" w:hAnsi="Arial"/>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1042B8"/>
    <w:rPr>
      <w:rFonts w:ascii="Gill Sans MT" w:hAnsi="Gill Sans MT"/>
      <w:sz w:val="24"/>
    </w:rPr>
  </w:style>
  <w:style w:type="table" w:customStyle="1" w:styleId="TableGrid1">
    <w:name w:val="Table Grid1"/>
    <w:basedOn w:val="TableNormal"/>
    <w:next w:val="TableGrid"/>
    <w:uiPriority w:val="59"/>
    <w:rsid w:val="0031607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Left0cmHanging075cm">
    <w:name w:val="Style Numbered Left:  0 cm Hanging:  0.75 cm"/>
    <w:basedOn w:val="NoList"/>
    <w:rsid w:val="00526C26"/>
    <w:pPr>
      <w:numPr>
        <w:numId w:val="14"/>
      </w:numPr>
    </w:pPr>
  </w:style>
  <w:style w:type="paragraph" w:customStyle="1" w:styleId="Bulletpoints">
    <w:name w:val="Bullet points"/>
    <w:basedOn w:val="Normal"/>
    <w:link w:val="BulletpointsChar"/>
    <w:qFormat/>
    <w:rsid w:val="00526C26"/>
    <w:pPr>
      <w:numPr>
        <w:numId w:val="16"/>
      </w:numPr>
      <w:tabs>
        <w:tab w:val="left" w:pos="993"/>
      </w:tabs>
      <w:spacing w:after="120"/>
      <w:ind w:left="993" w:hanging="425"/>
    </w:pPr>
    <w:rPr>
      <w:color w:val="000000"/>
      <w:szCs w:val="24"/>
    </w:rPr>
  </w:style>
  <w:style w:type="character" w:customStyle="1" w:styleId="BulletpointsChar">
    <w:name w:val="Bullet points Char"/>
    <w:link w:val="Bulletpoints"/>
    <w:rsid w:val="00526C26"/>
    <w:rPr>
      <w:rFonts w:ascii="Arial" w:hAnsi="Arial"/>
      <w:color w:val="000000"/>
      <w:sz w:val="24"/>
      <w:szCs w:val="24"/>
    </w:rPr>
  </w:style>
  <w:style w:type="character" w:customStyle="1" w:styleId="Firstpagetablebold">
    <w:name w:val="First page table: bold"/>
    <w:qFormat/>
    <w:rsid w:val="00526C26"/>
    <w:rPr>
      <w:rFonts w:ascii="Arial" w:hAnsi="Arial"/>
      <w:b/>
      <w:sz w:val="24"/>
    </w:rPr>
  </w:style>
  <w:style w:type="paragraph" w:customStyle="1" w:styleId="bParagraphtext">
    <w:name w:val="bParagraph text"/>
    <w:basedOn w:val="ListParagraph"/>
    <w:link w:val="bParagraphtextChar"/>
    <w:qFormat/>
    <w:rsid w:val="00526C26"/>
    <w:pPr>
      <w:tabs>
        <w:tab w:val="left" w:pos="426"/>
      </w:tabs>
      <w:spacing w:after="120"/>
      <w:ind w:left="426" w:hanging="426"/>
    </w:pPr>
    <w:rPr>
      <w:color w:val="000000"/>
      <w:szCs w:val="24"/>
    </w:rPr>
  </w:style>
  <w:style w:type="character" w:customStyle="1" w:styleId="bParagraphtextChar">
    <w:name w:val="bParagraph text Char"/>
    <w:link w:val="bParagraphtext"/>
    <w:rsid w:val="00526C26"/>
    <w:rPr>
      <w:rFonts w:ascii="Arial" w:hAnsi="Arial"/>
      <w:color w:val="000000"/>
      <w:sz w:val="24"/>
      <w:szCs w:val="24"/>
    </w:rPr>
  </w:style>
  <w:style w:type="character" w:customStyle="1" w:styleId="HeaderChar">
    <w:name w:val="Header Char"/>
    <w:link w:val="Header"/>
    <w:uiPriority w:val="99"/>
    <w:rsid w:val="006263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6057">
      <w:bodyDiv w:val="1"/>
      <w:marLeft w:val="0"/>
      <w:marRight w:val="0"/>
      <w:marTop w:val="0"/>
      <w:marBottom w:val="0"/>
      <w:divBdr>
        <w:top w:val="none" w:sz="0" w:space="0" w:color="auto"/>
        <w:left w:val="none" w:sz="0" w:space="0" w:color="auto"/>
        <w:bottom w:val="none" w:sz="0" w:space="0" w:color="auto"/>
        <w:right w:val="none" w:sz="0" w:space="0" w:color="auto"/>
      </w:divBdr>
    </w:div>
    <w:div w:id="935210837">
      <w:bodyDiv w:val="1"/>
      <w:marLeft w:val="0"/>
      <w:marRight w:val="0"/>
      <w:marTop w:val="0"/>
      <w:marBottom w:val="0"/>
      <w:divBdr>
        <w:top w:val="none" w:sz="0" w:space="0" w:color="auto"/>
        <w:left w:val="none" w:sz="0" w:space="0" w:color="auto"/>
        <w:bottom w:val="none" w:sz="0" w:space="0" w:color="auto"/>
        <w:right w:val="none" w:sz="0" w:space="0" w:color="auto"/>
      </w:divBdr>
    </w:div>
    <w:div w:id="943028424">
      <w:bodyDiv w:val="1"/>
      <w:marLeft w:val="0"/>
      <w:marRight w:val="0"/>
      <w:marTop w:val="0"/>
      <w:marBottom w:val="0"/>
      <w:divBdr>
        <w:top w:val="none" w:sz="0" w:space="0" w:color="auto"/>
        <w:left w:val="none" w:sz="0" w:space="0" w:color="auto"/>
        <w:bottom w:val="none" w:sz="0" w:space="0" w:color="auto"/>
        <w:right w:val="none" w:sz="0" w:space="0" w:color="auto"/>
      </w:divBdr>
    </w:div>
    <w:div w:id="1003557538">
      <w:bodyDiv w:val="1"/>
      <w:marLeft w:val="0"/>
      <w:marRight w:val="0"/>
      <w:marTop w:val="0"/>
      <w:marBottom w:val="0"/>
      <w:divBdr>
        <w:top w:val="none" w:sz="0" w:space="0" w:color="auto"/>
        <w:left w:val="none" w:sz="0" w:space="0" w:color="auto"/>
        <w:bottom w:val="none" w:sz="0" w:space="0" w:color="auto"/>
        <w:right w:val="none" w:sz="0" w:space="0" w:color="auto"/>
      </w:divBdr>
    </w:div>
    <w:div w:id="1276056444">
      <w:bodyDiv w:val="1"/>
      <w:marLeft w:val="0"/>
      <w:marRight w:val="0"/>
      <w:marTop w:val="0"/>
      <w:marBottom w:val="0"/>
      <w:divBdr>
        <w:top w:val="none" w:sz="0" w:space="0" w:color="auto"/>
        <w:left w:val="none" w:sz="0" w:space="0" w:color="auto"/>
        <w:bottom w:val="none" w:sz="0" w:space="0" w:color="auto"/>
        <w:right w:val="none" w:sz="0" w:space="0" w:color="auto"/>
      </w:divBdr>
    </w:div>
    <w:div w:id="1398165685">
      <w:bodyDiv w:val="1"/>
      <w:marLeft w:val="0"/>
      <w:marRight w:val="0"/>
      <w:marTop w:val="0"/>
      <w:marBottom w:val="0"/>
      <w:divBdr>
        <w:top w:val="none" w:sz="0" w:space="0" w:color="auto"/>
        <w:left w:val="none" w:sz="0" w:space="0" w:color="auto"/>
        <w:bottom w:val="none" w:sz="0" w:space="0" w:color="auto"/>
        <w:right w:val="none" w:sz="0" w:space="0" w:color="auto"/>
      </w:divBdr>
    </w:div>
    <w:div w:id="18972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89E0-B7B7-4D8D-9224-EAFECF3D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33F10772</Template>
  <TotalTime>14</TotalTime>
  <Pages>4</Pages>
  <Words>952</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West Oxfordshire District Council</Company>
  <LinksUpToDate>false</LinksUpToDate>
  <CharactersWithSpaces>6146</CharactersWithSpaces>
  <SharedDoc>false</SharedDoc>
  <HLinks>
    <vt:vector size="6" baseType="variant">
      <vt:variant>
        <vt:i4>1441838</vt:i4>
      </vt:variant>
      <vt:variant>
        <vt:i4>0</vt:i4>
      </vt:variant>
      <vt:variant>
        <vt:i4>0</vt:i4>
      </vt:variant>
      <vt:variant>
        <vt:i4>5</vt:i4>
      </vt:variant>
      <vt:variant>
        <vt:lpwstr/>
      </vt:variant>
      <vt:variant>
        <vt:lpwstr>_Appendix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mwillis</dc:creator>
  <cp:lastModifiedBy>jthompson</cp:lastModifiedBy>
  <cp:revision>4</cp:revision>
  <cp:lastPrinted>2018-02-02T09:54:00Z</cp:lastPrinted>
  <dcterms:created xsi:type="dcterms:W3CDTF">2018-02-05T17:16:00Z</dcterms:created>
  <dcterms:modified xsi:type="dcterms:W3CDTF">2018-02-05T17:52:00Z</dcterms:modified>
</cp:coreProperties>
</file>